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73748F8"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A84439">
        <w:rPr>
          <w:rFonts w:ascii="Poppins" w:hAnsi="Poppins" w:cs="Poppins"/>
          <w:sz w:val="24"/>
          <w:szCs w:val="22"/>
          <w:u w:val="single"/>
          <w:lang w:val="es-PE"/>
        </w:rPr>
        <w:t>5</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39E401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84439">
        <w:rPr>
          <w:rFonts w:ascii="Poppins" w:hAnsi="Poppins" w:cs="Poppins"/>
          <w:b/>
          <w:bCs/>
          <w:sz w:val="22"/>
          <w:szCs w:val="22"/>
        </w:rPr>
        <w:t>13</w:t>
      </w:r>
      <w:r w:rsidR="00316BFF">
        <w:rPr>
          <w:rFonts w:ascii="Poppins" w:hAnsi="Poppins" w:cs="Poppins"/>
          <w:b/>
          <w:bCs/>
          <w:sz w:val="22"/>
          <w:szCs w:val="22"/>
        </w:rPr>
        <w:t>/</w:t>
      </w:r>
      <w:r w:rsidR="005151B0">
        <w:rPr>
          <w:rFonts w:ascii="Poppins" w:hAnsi="Poppins" w:cs="Poppins"/>
          <w:b/>
          <w:bCs/>
          <w:sz w:val="22"/>
          <w:szCs w:val="22"/>
        </w:rPr>
        <w:t>0</w:t>
      </w:r>
      <w:r w:rsidR="005E1751">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5FBDDBA8" w:rsidR="00AB06BA" w:rsidRPr="001C2FD3" w:rsidRDefault="00B01C7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7D4484C" wp14:editId="5C912734">
            <wp:extent cx="5418347" cy="377284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0183" cy="378109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960105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40D73">
        <w:rPr>
          <w:rFonts w:ascii="Poppins" w:hAnsi="Poppins" w:cs="Poppins"/>
          <w:sz w:val="18"/>
          <w:szCs w:val="18"/>
        </w:rPr>
        <w:t>9</w:t>
      </w:r>
      <w:r w:rsidR="00AC7871">
        <w:rPr>
          <w:rFonts w:ascii="Poppins" w:hAnsi="Poppins" w:cs="Poppins"/>
          <w:sz w:val="18"/>
          <w:szCs w:val="18"/>
        </w:rPr>
        <w:t>8</w:t>
      </w:r>
      <w:r w:rsidR="00E23D92" w:rsidRPr="00273F37">
        <w:rPr>
          <w:rFonts w:ascii="Poppins" w:hAnsi="Poppins" w:cs="Poppins"/>
          <w:sz w:val="18"/>
          <w:szCs w:val="18"/>
        </w:rPr>
        <w:t>,</w:t>
      </w:r>
      <w:r w:rsidR="00AC7871">
        <w:rPr>
          <w:rFonts w:ascii="Poppins" w:hAnsi="Poppins" w:cs="Poppins"/>
          <w:sz w:val="18"/>
          <w:szCs w:val="18"/>
        </w:rPr>
        <w:t>18</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640D73">
        <w:rPr>
          <w:rFonts w:ascii="Poppins" w:hAnsi="Poppins" w:cs="Poppins"/>
          <w:sz w:val="18"/>
          <w:szCs w:val="18"/>
        </w:rPr>
        <w:t>2</w:t>
      </w:r>
      <w:r w:rsidR="00AC7871">
        <w:rPr>
          <w:rFonts w:ascii="Poppins" w:hAnsi="Poppins" w:cs="Poppins"/>
          <w:sz w:val="18"/>
          <w:szCs w:val="18"/>
        </w:rPr>
        <w:t>2</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AC7871">
        <w:rPr>
          <w:rFonts w:ascii="Poppins" w:hAnsi="Poppins" w:cs="Poppins"/>
          <w:sz w:val="18"/>
          <w:szCs w:val="18"/>
        </w:rPr>
        <w:t>56</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25618">
        <w:rPr>
          <w:rFonts w:ascii="Poppins" w:hAnsi="Poppins" w:cs="Poppins"/>
          <w:sz w:val="18"/>
          <w:szCs w:val="18"/>
        </w:rPr>
        <w:t>34</w:t>
      </w:r>
      <w:r w:rsidR="00941CD2" w:rsidRPr="00273F37">
        <w:rPr>
          <w:rFonts w:ascii="Poppins" w:hAnsi="Poppins" w:cs="Poppins"/>
          <w:sz w:val="18"/>
          <w:szCs w:val="18"/>
        </w:rPr>
        <w:t>,</w:t>
      </w:r>
      <w:r w:rsidR="00725618">
        <w:rPr>
          <w:rFonts w:ascii="Poppins" w:hAnsi="Poppins" w:cs="Poppins"/>
          <w:sz w:val="18"/>
          <w:szCs w:val="18"/>
        </w:rPr>
        <w:t>27</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52541294"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A936B1">
        <w:rPr>
          <w:rFonts w:ascii="Poppins" w:hAnsi="Poppins" w:cs="Poppins"/>
          <w:bCs/>
          <w:sz w:val="18"/>
          <w:szCs w:val="18"/>
        </w:rPr>
        <w:t>2</w:t>
      </w:r>
      <w:r w:rsidR="00AC7871">
        <w:rPr>
          <w:rFonts w:ascii="Poppins" w:hAnsi="Poppins" w:cs="Poppins"/>
          <w:bCs/>
          <w:sz w:val="18"/>
          <w:szCs w:val="18"/>
        </w:rPr>
        <w:t>7</w:t>
      </w:r>
      <w:r w:rsidR="007D7CB0">
        <w:rPr>
          <w:rFonts w:ascii="Poppins" w:hAnsi="Poppins" w:cs="Poppins"/>
          <w:bCs/>
          <w:sz w:val="18"/>
          <w:szCs w:val="18"/>
        </w:rPr>
        <w:t>.</w:t>
      </w:r>
      <w:r w:rsidR="00B816EA">
        <w:rPr>
          <w:rFonts w:ascii="Poppins" w:hAnsi="Poppins" w:cs="Poppins"/>
          <w:bCs/>
          <w:sz w:val="18"/>
          <w:szCs w:val="18"/>
        </w:rPr>
        <w:t>0</w:t>
      </w:r>
      <w:r w:rsidR="006F044B">
        <w:rPr>
          <w:rFonts w:ascii="Poppins" w:hAnsi="Poppins" w:cs="Poppins"/>
          <w:bCs/>
          <w:sz w:val="18"/>
          <w:szCs w:val="18"/>
        </w:rPr>
        <w:t>3</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AC7871">
        <w:rPr>
          <w:rFonts w:ascii="Poppins" w:hAnsi="Poppins" w:cs="Poppins"/>
          <w:bCs/>
          <w:sz w:val="18"/>
          <w:szCs w:val="18"/>
        </w:rPr>
        <w:t>1</w:t>
      </w:r>
      <w:r w:rsidR="00A936B1">
        <w:rPr>
          <w:rFonts w:ascii="Poppins" w:hAnsi="Poppins" w:cs="Poppins"/>
          <w:bCs/>
          <w:sz w:val="18"/>
          <w:szCs w:val="18"/>
        </w:rPr>
        <w:t>0</w:t>
      </w:r>
      <w:r w:rsidR="005151B0">
        <w:rPr>
          <w:rFonts w:ascii="Poppins" w:hAnsi="Poppins" w:cs="Poppins"/>
          <w:bCs/>
          <w:sz w:val="18"/>
          <w:szCs w:val="18"/>
        </w:rPr>
        <w:t>.0</w:t>
      </w:r>
      <w:r w:rsidR="00A936B1">
        <w:rPr>
          <w:rFonts w:ascii="Poppins" w:hAnsi="Poppins" w:cs="Poppins"/>
          <w:bCs/>
          <w:sz w:val="18"/>
          <w:szCs w:val="18"/>
        </w:rPr>
        <w:t>4</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AE4DE57" w14:textId="77777777" w:rsidR="00B01C7D" w:rsidRPr="00E63B29" w:rsidRDefault="00B01C7D" w:rsidP="00B01C7D">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y propano, </w:t>
      </w:r>
      <w:r w:rsidRPr="00E63B29">
        <w:rPr>
          <w:rFonts w:ascii="Poppins" w:hAnsi="Poppins" w:cs="Poppins"/>
          <w:b/>
          <w:sz w:val="18"/>
          <w:szCs w:val="18"/>
        </w:rPr>
        <w:t xml:space="preserve">así como el descenso de las existencias de </w:t>
      </w:r>
      <w:r>
        <w:rPr>
          <w:rFonts w:ascii="Poppins" w:hAnsi="Poppins" w:cs="Poppins"/>
          <w:b/>
          <w:sz w:val="18"/>
          <w:szCs w:val="18"/>
        </w:rPr>
        <w:t>gasolinas y destilado medio</w:t>
      </w:r>
      <w:r w:rsidRPr="00E63B29">
        <w:rPr>
          <w:rFonts w:ascii="Poppins" w:hAnsi="Poppins" w:cs="Poppins"/>
          <w:b/>
          <w:sz w:val="18"/>
          <w:szCs w:val="18"/>
        </w:rPr>
        <w:t xml:space="preserve">, al </w:t>
      </w:r>
      <w:r>
        <w:rPr>
          <w:rFonts w:ascii="Poppins" w:hAnsi="Poppins" w:cs="Poppins"/>
          <w:b/>
          <w:sz w:val="18"/>
          <w:szCs w:val="18"/>
        </w:rPr>
        <w:t xml:space="preserve">03 </w:t>
      </w:r>
      <w:r w:rsidRPr="00E63B29">
        <w:rPr>
          <w:rFonts w:ascii="Poppins" w:hAnsi="Poppins" w:cs="Poppins"/>
          <w:b/>
          <w:sz w:val="18"/>
          <w:szCs w:val="18"/>
        </w:rPr>
        <w:t xml:space="preserve">de </w:t>
      </w:r>
      <w:r>
        <w:rPr>
          <w:rFonts w:ascii="Poppins" w:hAnsi="Poppins" w:cs="Poppins"/>
          <w:b/>
          <w:sz w:val="18"/>
          <w:szCs w:val="18"/>
        </w:rPr>
        <w:t>abril</w:t>
      </w:r>
      <w:r w:rsidRPr="00E63B29">
        <w:rPr>
          <w:rFonts w:ascii="Poppins" w:hAnsi="Poppins" w:cs="Poppins"/>
          <w:b/>
          <w:sz w:val="18"/>
          <w:szCs w:val="18"/>
        </w:rPr>
        <w:t xml:space="preserve"> del 2026</w:t>
      </w:r>
    </w:p>
    <w:p w14:paraId="69329A3A" w14:textId="77777777" w:rsidR="00B01C7D" w:rsidRPr="00E63B29" w:rsidRDefault="00B01C7D" w:rsidP="00B01C7D">
      <w:pPr>
        <w:shd w:val="clear" w:color="auto" w:fill="FFFFFF"/>
        <w:ind w:left="425"/>
        <w:jc w:val="both"/>
        <w:rPr>
          <w:rFonts w:ascii="Poppins" w:hAnsi="Poppins" w:cs="Poppins"/>
          <w:sz w:val="18"/>
          <w:szCs w:val="18"/>
        </w:rPr>
      </w:pPr>
    </w:p>
    <w:p w14:paraId="55538F31" w14:textId="77777777" w:rsidR="00B01C7D" w:rsidRPr="00E63B29" w:rsidRDefault="00B01C7D" w:rsidP="00B01C7D">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3,1</w:t>
      </w:r>
      <w:r w:rsidRPr="00E63B29">
        <w:rPr>
          <w:rFonts w:ascii="Poppins" w:hAnsi="Poppins" w:cs="Poppins"/>
          <w:sz w:val="18"/>
          <w:szCs w:val="18"/>
        </w:rPr>
        <w:t xml:space="preserve"> millones de barriles alcanzando los 4</w:t>
      </w:r>
      <w:r>
        <w:rPr>
          <w:rFonts w:ascii="Poppins" w:hAnsi="Poppins" w:cs="Poppins"/>
          <w:sz w:val="18"/>
          <w:szCs w:val="18"/>
        </w:rPr>
        <w:t>64</w:t>
      </w:r>
      <w:r w:rsidRPr="00E63B29">
        <w:rPr>
          <w:rFonts w:ascii="Poppins" w:hAnsi="Poppins" w:cs="Poppins"/>
          <w:sz w:val="18"/>
          <w:szCs w:val="18"/>
        </w:rPr>
        <w:t>,</w:t>
      </w:r>
      <w:r>
        <w:rPr>
          <w:rFonts w:ascii="Poppins" w:hAnsi="Poppins" w:cs="Poppins"/>
          <w:sz w:val="18"/>
          <w:szCs w:val="18"/>
        </w:rPr>
        <w:t>7</w:t>
      </w:r>
      <w:r w:rsidRPr="00E63B29">
        <w:rPr>
          <w:rFonts w:ascii="Poppins" w:hAnsi="Poppins" w:cs="Poppins"/>
          <w:sz w:val="18"/>
          <w:szCs w:val="18"/>
        </w:rPr>
        <w:t xml:space="preserve"> millones de barriles, ubicándose en un </w:t>
      </w:r>
      <w:r>
        <w:rPr>
          <w:rFonts w:ascii="Poppins" w:hAnsi="Poppins" w:cs="Poppins"/>
          <w:sz w:val="18"/>
          <w:szCs w:val="18"/>
        </w:rPr>
        <w:t>+2</w:t>
      </w:r>
      <w:r w:rsidRPr="00E63B29">
        <w:rPr>
          <w:rFonts w:ascii="Poppins" w:hAnsi="Poppins" w:cs="Poppins"/>
          <w:sz w:val="18"/>
          <w:szCs w:val="18"/>
        </w:rPr>
        <w:t xml:space="preserve">% por </w:t>
      </w:r>
      <w:r>
        <w:rPr>
          <w:rFonts w:ascii="Poppins" w:hAnsi="Poppins" w:cs="Poppins"/>
          <w:sz w:val="18"/>
          <w:szCs w:val="18"/>
        </w:rPr>
        <w:t>encima</w:t>
      </w:r>
      <w:r w:rsidRPr="00E63B29">
        <w:rPr>
          <w:rFonts w:ascii="Poppins" w:hAnsi="Poppins" w:cs="Poppins"/>
          <w:sz w:val="18"/>
          <w:szCs w:val="18"/>
        </w:rPr>
        <w:t xml:space="preserve"> de la media de los últimos 5 años, para esta época del año</w:t>
      </w:r>
      <w:r>
        <w:rPr>
          <w:rFonts w:ascii="Poppins" w:hAnsi="Poppins" w:cs="Poppins"/>
          <w:sz w:val="18"/>
          <w:szCs w:val="18"/>
        </w:rPr>
        <w:t>.</w:t>
      </w:r>
    </w:p>
    <w:p w14:paraId="01A928C4" w14:textId="77777777" w:rsidR="00B01C7D" w:rsidRPr="00E63B29" w:rsidRDefault="00B01C7D" w:rsidP="00B01C7D">
      <w:pPr>
        <w:shd w:val="clear" w:color="auto" w:fill="FFFFFF"/>
        <w:ind w:left="425"/>
        <w:jc w:val="both"/>
        <w:rPr>
          <w:rFonts w:ascii="Poppins" w:hAnsi="Poppins" w:cs="Poppins"/>
          <w:sz w:val="18"/>
          <w:szCs w:val="18"/>
        </w:rPr>
      </w:pPr>
    </w:p>
    <w:p w14:paraId="518D9223" w14:textId="77777777" w:rsidR="00B01C7D" w:rsidRPr="00E63B29" w:rsidRDefault="00B01C7D" w:rsidP="00B01C7D">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1,6</w:t>
      </w:r>
      <w:r w:rsidRPr="00E63B29">
        <w:rPr>
          <w:rFonts w:ascii="Poppins" w:hAnsi="Poppins" w:cs="Poppins"/>
          <w:sz w:val="18"/>
          <w:szCs w:val="18"/>
        </w:rPr>
        <w:t xml:space="preserve"> millones de barriles, reportando un total de 2</w:t>
      </w:r>
      <w:r>
        <w:rPr>
          <w:rFonts w:ascii="Poppins" w:hAnsi="Poppins" w:cs="Poppins"/>
          <w:sz w:val="18"/>
          <w:szCs w:val="18"/>
        </w:rPr>
        <w:t>39</w:t>
      </w:r>
      <w:r w:rsidRPr="00E63B29">
        <w:rPr>
          <w:rFonts w:ascii="Poppins" w:hAnsi="Poppins" w:cs="Poppins"/>
          <w:sz w:val="18"/>
          <w:szCs w:val="18"/>
        </w:rPr>
        <w:t>,</w:t>
      </w:r>
      <w:r>
        <w:rPr>
          <w:rFonts w:ascii="Poppins" w:hAnsi="Poppins" w:cs="Poppins"/>
          <w:sz w:val="18"/>
          <w:szCs w:val="18"/>
        </w:rPr>
        <w:t>3</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se redujeron</w:t>
      </w:r>
      <w:r w:rsidRPr="00E63B29">
        <w:rPr>
          <w:rFonts w:ascii="Poppins" w:hAnsi="Poppins" w:cs="Poppins"/>
          <w:sz w:val="18"/>
          <w:szCs w:val="18"/>
        </w:rPr>
        <w:t xml:space="preserve"> en</w:t>
      </w:r>
      <w:r>
        <w:rPr>
          <w:rFonts w:ascii="Poppins" w:hAnsi="Poppins" w:cs="Poppins"/>
          <w:sz w:val="18"/>
          <w:szCs w:val="18"/>
        </w:rPr>
        <w:t xml:space="preserve"> 3,1</w:t>
      </w:r>
      <w:r w:rsidRPr="00E63B29">
        <w:rPr>
          <w:rFonts w:ascii="Poppins" w:hAnsi="Poppins" w:cs="Poppins"/>
          <w:sz w:val="18"/>
          <w:szCs w:val="18"/>
        </w:rPr>
        <w:t xml:space="preserve"> millones de barriles, ubicándose en 1</w:t>
      </w:r>
      <w:r>
        <w:rPr>
          <w:rFonts w:ascii="Poppins" w:hAnsi="Poppins" w:cs="Poppins"/>
          <w:sz w:val="18"/>
          <w:szCs w:val="18"/>
        </w:rPr>
        <w:t>14</w:t>
      </w:r>
      <w:r w:rsidRPr="00E63B29">
        <w:rPr>
          <w:rFonts w:ascii="Poppins" w:hAnsi="Poppins" w:cs="Poppins"/>
          <w:sz w:val="18"/>
          <w:szCs w:val="18"/>
        </w:rPr>
        <w:t>,</w:t>
      </w:r>
      <w:r>
        <w:rPr>
          <w:rFonts w:ascii="Poppins" w:hAnsi="Poppins" w:cs="Poppins"/>
          <w:sz w:val="18"/>
          <w:szCs w:val="18"/>
        </w:rPr>
        <w:t>7</w:t>
      </w:r>
      <w:r w:rsidRPr="00E63B29">
        <w:rPr>
          <w:rFonts w:ascii="Poppins" w:hAnsi="Poppins" w:cs="Poppins"/>
          <w:sz w:val="18"/>
          <w:szCs w:val="18"/>
        </w:rPr>
        <w:t xml:space="preserve"> millones de barriles</w:t>
      </w:r>
      <w:r>
        <w:rPr>
          <w:rFonts w:ascii="Poppins" w:hAnsi="Poppins" w:cs="Poppins"/>
          <w:sz w:val="18"/>
          <w:szCs w:val="18"/>
        </w:rPr>
        <w:t>.</w:t>
      </w:r>
    </w:p>
    <w:p w14:paraId="3F2C25A1" w14:textId="77777777" w:rsidR="00B01C7D" w:rsidRPr="00E63B29" w:rsidRDefault="00B01C7D" w:rsidP="00B01C7D">
      <w:pPr>
        <w:shd w:val="clear" w:color="auto" w:fill="FFFFFF"/>
        <w:ind w:left="425"/>
        <w:jc w:val="both"/>
        <w:rPr>
          <w:rFonts w:ascii="Poppins" w:hAnsi="Poppins" w:cs="Poppins"/>
          <w:sz w:val="18"/>
          <w:szCs w:val="18"/>
        </w:rPr>
      </w:pPr>
    </w:p>
    <w:p w14:paraId="1BAC596C" w14:textId="0560CB9B" w:rsidR="00B01C7D" w:rsidRDefault="00B01C7D" w:rsidP="00B01C7D">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0,57 </w:t>
      </w:r>
      <w:r w:rsidRPr="00E63B29">
        <w:rPr>
          <w:rFonts w:ascii="Poppins" w:hAnsi="Poppins" w:cs="Poppins"/>
          <w:sz w:val="18"/>
          <w:szCs w:val="18"/>
        </w:rPr>
        <w:t xml:space="preserve">millones de barriles, registrando </w:t>
      </w:r>
      <w:r w:rsidRPr="00E47B86">
        <w:rPr>
          <w:rFonts w:ascii="Poppins" w:hAnsi="Poppins" w:cs="Poppins"/>
          <w:sz w:val="18"/>
          <w:szCs w:val="18"/>
        </w:rPr>
        <w:t>un nivel de 7</w:t>
      </w:r>
      <w:r>
        <w:rPr>
          <w:rFonts w:ascii="Poppins" w:hAnsi="Poppins" w:cs="Poppins"/>
          <w:sz w:val="18"/>
          <w:szCs w:val="18"/>
        </w:rPr>
        <w:t>7</w:t>
      </w:r>
      <w:r w:rsidRPr="00E47B86">
        <w:rPr>
          <w:rFonts w:ascii="Poppins" w:hAnsi="Poppins" w:cs="Poppins"/>
          <w:sz w:val="18"/>
          <w:szCs w:val="18"/>
        </w:rPr>
        <w:t>,</w:t>
      </w:r>
      <w:r>
        <w:rPr>
          <w:rFonts w:ascii="Poppins" w:hAnsi="Poppins" w:cs="Poppins"/>
          <w:sz w:val="18"/>
          <w:szCs w:val="18"/>
        </w:rPr>
        <w:t>60</w:t>
      </w:r>
      <w:r w:rsidRPr="00E47B86">
        <w:rPr>
          <w:rFonts w:ascii="Poppins" w:hAnsi="Poppins" w:cs="Poppins"/>
          <w:sz w:val="18"/>
          <w:szCs w:val="18"/>
        </w:rPr>
        <w:t xml:space="preserve"> millones de barriles</w:t>
      </w:r>
      <w:r>
        <w:rPr>
          <w:rFonts w:ascii="Poppins" w:hAnsi="Poppins" w:cs="Poppins"/>
          <w:sz w:val="18"/>
          <w:szCs w:val="18"/>
        </w:rPr>
        <w:t>.</w:t>
      </w:r>
    </w:p>
    <w:p w14:paraId="6D6FAA89" w14:textId="77777777" w:rsidR="00725618" w:rsidRPr="00E47B86" w:rsidRDefault="00725618" w:rsidP="00B01C7D">
      <w:pPr>
        <w:shd w:val="clear" w:color="auto" w:fill="FFFFFF"/>
        <w:ind w:left="425"/>
        <w:jc w:val="both"/>
        <w:rPr>
          <w:rFonts w:ascii="Poppins" w:hAnsi="Poppins" w:cs="Poppins"/>
          <w:sz w:val="18"/>
          <w:szCs w:val="18"/>
        </w:rPr>
      </w:pPr>
    </w:p>
    <w:p w14:paraId="3DEF4619" w14:textId="77777777" w:rsidR="00B01C7D" w:rsidRPr="00E47B86" w:rsidRDefault="00B01C7D" w:rsidP="00B01C7D">
      <w:pPr>
        <w:jc w:val="both"/>
        <w:rPr>
          <w:rFonts w:ascii="Poppins" w:hAnsi="Poppins" w:cs="Poppins"/>
          <w:b/>
          <w:sz w:val="18"/>
          <w:szCs w:val="18"/>
        </w:rPr>
      </w:pPr>
    </w:p>
    <w:p w14:paraId="1F60F9F6" w14:textId="77777777" w:rsidR="00B01C7D" w:rsidRPr="00E61AE3" w:rsidRDefault="00B01C7D" w:rsidP="00B01C7D">
      <w:pPr>
        <w:pStyle w:val="Prrafodelista"/>
        <w:numPr>
          <w:ilvl w:val="0"/>
          <w:numId w:val="30"/>
        </w:numPr>
        <w:ind w:left="425"/>
        <w:contextualSpacing/>
        <w:jc w:val="both"/>
        <w:rPr>
          <w:rFonts w:ascii="Poppins" w:hAnsi="Poppins" w:cs="Poppins"/>
          <w:b/>
          <w:sz w:val="18"/>
          <w:szCs w:val="18"/>
        </w:rPr>
      </w:pPr>
      <w:r w:rsidRPr="003824FA">
        <w:rPr>
          <w:rFonts w:ascii="Poppins" w:hAnsi="Poppins" w:cs="Poppins"/>
          <w:b/>
          <w:sz w:val="18"/>
          <w:szCs w:val="18"/>
        </w:rPr>
        <w:lastRenderedPageBreak/>
        <w:t>EE.UU. e Irán pasaron del diálogo estancado a una confrontación abierta, y luego a una tregua frágil con presión y negociación aún en disputa</w:t>
      </w:r>
    </w:p>
    <w:p w14:paraId="666213C7" w14:textId="77777777" w:rsidR="00B01C7D" w:rsidRPr="00E61AE3" w:rsidRDefault="00B01C7D" w:rsidP="00B01C7D">
      <w:pPr>
        <w:jc w:val="both"/>
        <w:rPr>
          <w:rFonts w:ascii="Poppins" w:hAnsi="Poppins" w:cs="Poppins"/>
          <w:b/>
          <w:sz w:val="18"/>
          <w:szCs w:val="18"/>
        </w:rPr>
      </w:pPr>
    </w:p>
    <w:p w14:paraId="5B9DA916" w14:textId="77777777" w:rsidR="00B01C7D" w:rsidRPr="00E61AE3" w:rsidRDefault="00B01C7D" w:rsidP="00B01C7D">
      <w:pPr>
        <w:shd w:val="clear" w:color="auto" w:fill="FFFFFF"/>
        <w:ind w:left="425"/>
        <w:jc w:val="both"/>
        <w:rPr>
          <w:rFonts w:ascii="Poppins" w:hAnsi="Poppins" w:cs="Poppins"/>
          <w:sz w:val="18"/>
          <w:szCs w:val="18"/>
        </w:rPr>
      </w:pPr>
      <w:r w:rsidRPr="00E61AE3">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Mojtaba Khamenei respaldó el cierre de Ormuz y Donald Trump elevó la presión con amenazas cada vez más directas, hasta pasar del lenguaje de advertencia a exigencias de </w:t>
      </w:r>
      <w:r w:rsidRPr="00E61AE3">
        <w:rPr>
          <w:rFonts w:ascii="Poppins" w:hAnsi="Poppins" w:cs="Poppins"/>
          <w:i/>
          <w:iCs/>
          <w:sz w:val="18"/>
          <w:szCs w:val="18"/>
        </w:rPr>
        <w:t>“rendición incondicional”</w:t>
      </w:r>
      <w:r w:rsidRPr="00E61AE3">
        <w:rPr>
          <w:rFonts w:ascii="Poppins" w:hAnsi="Poppins" w:cs="Poppins"/>
          <w:sz w:val="18"/>
          <w:szCs w:val="18"/>
        </w:rPr>
        <w:t>.</w:t>
      </w:r>
    </w:p>
    <w:p w14:paraId="4A6C8B21" w14:textId="77777777" w:rsidR="00B01C7D" w:rsidRPr="00E61AE3" w:rsidRDefault="00B01C7D" w:rsidP="00B01C7D">
      <w:pPr>
        <w:shd w:val="clear" w:color="auto" w:fill="FFFFFF"/>
        <w:ind w:left="425"/>
        <w:jc w:val="both"/>
        <w:rPr>
          <w:rFonts w:ascii="Poppins" w:hAnsi="Poppins" w:cs="Poppins"/>
          <w:sz w:val="18"/>
          <w:szCs w:val="18"/>
        </w:rPr>
      </w:pPr>
    </w:p>
    <w:p w14:paraId="41225E89" w14:textId="77777777" w:rsidR="00B01C7D" w:rsidRDefault="00B01C7D" w:rsidP="00B01C7D">
      <w:pPr>
        <w:shd w:val="clear" w:color="auto" w:fill="FFFFFF"/>
        <w:ind w:left="425"/>
        <w:jc w:val="both"/>
        <w:rPr>
          <w:rFonts w:ascii="Poppins" w:hAnsi="Poppins" w:cs="Poppins"/>
          <w:sz w:val="18"/>
          <w:szCs w:val="18"/>
        </w:rPr>
      </w:pPr>
      <w:r w:rsidRPr="00E61AE3">
        <w:rPr>
          <w:rFonts w:ascii="Poppins" w:hAnsi="Poppins" w:cs="Poppins"/>
          <w:sz w:val="18"/>
          <w:szCs w:val="18"/>
        </w:rPr>
        <w:t>La escalada dio un salto importante el 13 de marzo, cuando Trump anunció ataques estadounidenses contra objetivos militares en Kharg,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Kharg, manteniendo intactas las instalaciones petroleras. Aun así, la señal estratégica fue contundente, pues mostró que EE.UU. estaba dispuesto a escalar sobre el principal nodo exportador iraní para presionar un cambio en la postura.</w:t>
      </w:r>
    </w:p>
    <w:p w14:paraId="5E9176AC" w14:textId="77777777" w:rsidR="00B01C7D" w:rsidRPr="00E61AE3" w:rsidRDefault="00B01C7D" w:rsidP="00B01C7D">
      <w:pPr>
        <w:shd w:val="clear" w:color="auto" w:fill="FFFFFF"/>
        <w:ind w:left="425"/>
        <w:jc w:val="both"/>
        <w:rPr>
          <w:rFonts w:ascii="Poppins" w:hAnsi="Poppins" w:cs="Poppins"/>
          <w:sz w:val="18"/>
          <w:szCs w:val="18"/>
        </w:rPr>
      </w:pPr>
    </w:p>
    <w:p w14:paraId="0D829A93" w14:textId="77777777" w:rsidR="00B01C7D" w:rsidRPr="00E61AE3" w:rsidRDefault="00B01C7D" w:rsidP="00B01C7D">
      <w:pPr>
        <w:shd w:val="clear" w:color="auto" w:fill="FFFFFF"/>
        <w:ind w:left="425"/>
        <w:jc w:val="both"/>
        <w:rPr>
          <w:rFonts w:ascii="Poppins" w:hAnsi="Poppins" w:cs="Poppins"/>
          <w:sz w:val="18"/>
          <w:szCs w:val="18"/>
        </w:rPr>
      </w:pPr>
      <w:r w:rsidRPr="00E61AE3">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Kharg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E61AE3">
        <w:rPr>
          <w:rFonts w:ascii="Poppins" w:hAnsi="Poppins" w:cs="Poppins"/>
          <w:i/>
          <w:iCs/>
          <w:sz w:val="18"/>
          <w:szCs w:val="18"/>
        </w:rPr>
        <w:t xml:space="preserve">“productivos” </w:t>
      </w:r>
      <w:r w:rsidRPr="00E61AE3">
        <w:rPr>
          <w:rFonts w:ascii="Poppins" w:hAnsi="Poppins" w:cs="Poppins"/>
          <w:sz w:val="18"/>
          <w:szCs w:val="18"/>
        </w:rPr>
        <w:t>con Teherán, aunque Irán negó negociaciones formales.</w:t>
      </w:r>
    </w:p>
    <w:p w14:paraId="6670B711" w14:textId="77777777" w:rsidR="00B01C7D" w:rsidRPr="00E61AE3" w:rsidRDefault="00B01C7D" w:rsidP="00B01C7D">
      <w:pPr>
        <w:shd w:val="clear" w:color="auto" w:fill="FFFFFF"/>
        <w:ind w:left="425"/>
        <w:jc w:val="both"/>
        <w:rPr>
          <w:rFonts w:ascii="Poppins" w:hAnsi="Poppins" w:cs="Poppins"/>
          <w:sz w:val="18"/>
          <w:szCs w:val="18"/>
        </w:rPr>
      </w:pPr>
    </w:p>
    <w:p w14:paraId="0D2BF3D3" w14:textId="77777777" w:rsidR="00B01C7D" w:rsidRPr="00B325D3" w:rsidRDefault="00B01C7D" w:rsidP="00B01C7D">
      <w:pPr>
        <w:shd w:val="clear" w:color="auto" w:fill="FFFFFF"/>
        <w:ind w:left="425"/>
        <w:jc w:val="both"/>
        <w:rPr>
          <w:rFonts w:ascii="Poppins" w:hAnsi="Poppins" w:cs="Poppins"/>
          <w:sz w:val="18"/>
          <w:szCs w:val="18"/>
        </w:rPr>
      </w:pPr>
      <w:r w:rsidRPr="00E61AE3">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E61AE3">
        <w:rPr>
          <w:rFonts w:ascii="Poppins" w:hAnsi="Poppins" w:cs="Poppins"/>
          <w:i/>
          <w:iCs/>
          <w:sz w:val="18"/>
          <w:szCs w:val="18"/>
        </w:rPr>
        <w:t>“muy buenas”,</w:t>
      </w:r>
      <w:r w:rsidRPr="00E61AE3">
        <w:rPr>
          <w:rFonts w:ascii="Poppins" w:hAnsi="Poppins" w:cs="Poppins"/>
          <w:sz w:val="18"/>
          <w:szCs w:val="18"/>
        </w:rPr>
        <w:t xml:space="preserve"> lo que provocó una fuerte corrección del mercado; sin embargo, Irán negó contactos formales y el alivio fue efímero. Luego, el 26 de marzo, EE.UU. </w:t>
      </w:r>
      <w:r w:rsidRPr="00B325D3">
        <w:rPr>
          <w:rFonts w:ascii="Poppins" w:hAnsi="Poppins" w:cs="Poppins"/>
          <w:sz w:val="18"/>
          <w:szCs w:val="18"/>
        </w:rPr>
        <w:t>amplió esa pausa por 10 días, hasta el 6 de abril, insistiendo en que las conversaciones avanzaban, aunque Teherán calificó la propuesta estadounidense como sesgada e injusta.</w:t>
      </w:r>
    </w:p>
    <w:p w14:paraId="6A35A7A9" w14:textId="77777777" w:rsidR="00B01C7D" w:rsidRPr="00B325D3" w:rsidRDefault="00B01C7D" w:rsidP="00B01C7D">
      <w:pPr>
        <w:shd w:val="clear" w:color="auto" w:fill="FFFFFF"/>
        <w:ind w:left="425"/>
        <w:jc w:val="both"/>
        <w:rPr>
          <w:rFonts w:ascii="Poppins" w:hAnsi="Poppins" w:cs="Poppins"/>
          <w:sz w:val="18"/>
          <w:szCs w:val="18"/>
        </w:rPr>
      </w:pPr>
    </w:p>
    <w:p w14:paraId="276DFF93" w14:textId="77777777" w:rsidR="00B01C7D" w:rsidRPr="00B325D3" w:rsidRDefault="00B01C7D" w:rsidP="00B01C7D">
      <w:pPr>
        <w:shd w:val="clear" w:color="auto" w:fill="FFFFFF"/>
        <w:ind w:left="425"/>
        <w:jc w:val="both"/>
        <w:rPr>
          <w:rFonts w:ascii="Poppins" w:hAnsi="Poppins" w:cs="Poppins"/>
          <w:sz w:val="18"/>
          <w:szCs w:val="18"/>
        </w:rPr>
      </w:pPr>
      <w:r w:rsidRPr="00B325D3">
        <w:rPr>
          <w:rFonts w:ascii="Poppins" w:hAnsi="Poppins" w:cs="Poppins"/>
          <w:sz w:val="18"/>
          <w:szCs w:val="18"/>
        </w:rPr>
        <w:t xml:space="preserve">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contra Irán, la falta de avances diplomáticos verificables y la persistencia del riesgo sobre el estrecho de Ormuz reforzaron la percepción de una confrontación de mayor duración. En ese contexto, el crudo volvió a dispararse, la volatilidad se intensificó y el mercado empezó </w:t>
      </w:r>
      <w:r w:rsidRPr="00B325D3">
        <w:rPr>
          <w:rFonts w:ascii="Poppins" w:hAnsi="Poppins" w:cs="Poppins"/>
          <w:sz w:val="18"/>
          <w:szCs w:val="18"/>
        </w:rPr>
        <w:lastRenderedPageBreak/>
        <w:t>a considerar que ya no enfrentaba una perturbación transitoria, sino una crisis con capacidad real de extenderse en el tiempo y seguir alterando el equilibrio energético mundial.</w:t>
      </w:r>
    </w:p>
    <w:p w14:paraId="41F26393" w14:textId="77777777" w:rsidR="00B01C7D" w:rsidRPr="00B325D3" w:rsidRDefault="00B01C7D" w:rsidP="00B01C7D">
      <w:pPr>
        <w:shd w:val="clear" w:color="auto" w:fill="FFFFFF"/>
        <w:ind w:left="425"/>
        <w:jc w:val="both"/>
        <w:rPr>
          <w:rFonts w:ascii="Poppins" w:hAnsi="Poppins" w:cs="Poppins"/>
          <w:sz w:val="18"/>
          <w:szCs w:val="18"/>
        </w:rPr>
      </w:pPr>
    </w:p>
    <w:p w14:paraId="0AE2C896" w14:textId="77777777" w:rsidR="00B01C7D" w:rsidRPr="00B325D3" w:rsidRDefault="00B01C7D" w:rsidP="00B01C7D">
      <w:pPr>
        <w:shd w:val="clear" w:color="auto" w:fill="FFFFFF"/>
        <w:ind w:left="425"/>
        <w:jc w:val="both"/>
        <w:rPr>
          <w:rFonts w:ascii="Poppins" w:hAnsi="Poppins" w:cs="Poppins"/>
          <w:sz w:val="18"/>
          <w:szCs w:val="18"/>
        </w:rPr>
      </w:pPr>
      <w:r w:rsidRPr="00B325D3">
        <w:rPr>
          <w:rFonts w:ascii="Poppins" w:hAnsi="Poppins" w:cs="Poppins"/>
          <w:sz w:val="18"/>
          <w:szCs w:val="18"/>
        </w:rPr>
        <w:t>Hacia fines de esa misma semana e inicios de abril, comenzaron a tomar forma nuevos intentos de alto el fuego impulsado por mediadores regionales, en particular Pakistán, que promovió un esquema de cese inmediato de hostilidades y una etapa posterior de negociación más amplia. Aunque Irán rechazó una tregua meramente temporal y exigió un arreglo más integral, esos contactos desembocaron días después en una tregua temporal entre EE.UU. e Irán, que provocó una fuerte corrección a la baja del precio de crudo entre el 8 y el 10 de abril; no obstante, el alivio fue incompleto, pues la reapertura operativa del sistema energético regional siguió siendo incierta y, aun después del anuncio, cerca de 187 tanqueros permanecían dentro del Golfo con unos 172 millones de barriles de crudo y refinados pendientes de evacuación.</w:t>
      </w:r>
    </w:p>
    <w:p w14:paraId="3935CF3A" w14:textId="77777777" w:rsidR="00B01C7D" w:rsidRPr="00B325D3" w:rsidRDefault="00B01C7D" w:rsidP="00B01C7D">
      <w:pPr>
        <w:shd w:val="clear" w:color="auto" w:fill="FFFFFF"/>
        <w:ind w:left="425"/>
        <w:jc w:val="both"/>
        <w:rPr>
          <w:rFonts w:ascii="Poppins" w:hAnsi="Poppins" w:cs="Poppins"/>
          <w:sz w:val="18"/>
          <w:szCs w:val="18"/>
        </w:rPr>
      </w:pPr>
    </w:p>
    <w:p w14:paraId="605BA867" w14:textId="77777777" w:rsidR="00B01C7D" w:rsidRPr="00B325D3" w:rsidRDefault="00B01C7D" w:rsidP="00B01C7D">
      <w:pPr>
        <w:shd w:val="clear" w:color="auto" w:fill="FFFFFF"/>
        <w:ind w:left="425"/>
        <w:jc w:val="both"/>
        <w:rPr>
          <w:rFonts w:ascii="Poppins" w:hAnsi="Poppins" w:cs="Poppins"/>
          <w:sz w:val="18"/>
          <w:szCs w:val="18"/>
        </w:rPr>
      </w:pPr>
      <w:r w:rsidRPr="00B325D3">
        <w:rPr>
          <w:rFonts w:ascii="Poppins" w:hAnsi="Poppins" w:cs="Poppins"/>
          <w:sz w:val="18"/>
          <w:szCs w:val="18"/>
        </w:rPr>
        <w:t>Entre el 11 y 12 de abril, el proceso entró en una fase más compleja. EE.UU. e Irán sostuvieron en Islamabad la ronda más importante de conversaciones de alto nivel en décadas, pero el encuentro terminó sin acuerdo, pese a largas horas de negociación. Reuters informó que ambas partes dejaron abierta la puerta al diálogo, aunque persistieron desacuerdos profundos sobre el programa nuclear iraní, el alivio de sanciones y la seguridad marítima en el Golfo. Ese resultado dejó claro que la tregua había frenado momentáneamente la escalada, pero no había resuelto ninguno de los nudos estratégicos del conflicto.</w:t>
      </w:r>
    </w:p>
    <w:p w14:paraId="37586A6F" w14:textId="77777777" w:rsidR="00B01C7D" w:rsidRPr="00B325D3" w:rsidRDefault="00B01C7D" w:rsidP="00B01C7D">
      <w:pPr>
        <w:shd w:val="clear" w:color="auto" w:fill="FFFFFF"/>
        <w:ind w:left="425"/>
        <w:jc w:val="both"/>
        <w:rPr>
          <w:rFonts w:ascii="Poppins" w:hAnsi="Poppins" w:cs="Poppins"/>
          <w:sz w:val="18"/>
          <w:szCs w:val="18"/>
        </w:rPr>
      </w:pPr>
    </w:p>
    <w:p w14:paraId="55F7F732" w14:textId="77777777" w:rsidR="00B01C7D" w:rsidRDefault="00B01C7D" w:rsidP="00B01C7D">
      <w:pPr>
        <w:shd w:val="clear" w:color="auto" w:fill="FFFFFF"/>
        <w:ind w:left="425"/>
        <w:jc w:val="both"/>
        <w:rPr>
          <w:rFonts w:ascii="Poppins" w:hAnsi="Poppins" w:cs="Poppins"/>
          <w:sz w:val="18"/>
          <w:szCs w:val="18"/>
        </w:rPr>
      </w:pPr>
      <w:r w:rsidRPr="00B325D3">
        <w:rPr>
          <w:rFonts w:ascii="Poppins" w:hAnsi="Poppins" w:cs="Poppins"/>
          <w:sz w:val="18"/>
          <w:szCs w:val="18"/>
        </w:rPr>
        <w:t>Ya en lo más reciente, el conflicto entró en una fase especialmente delicada y ambigua. Por un lado, la Casa Blanca endureció la presión al confirmar que no renovará la exención de 30 días que permitía mantener ciertos flujos de crudo iraní, reforzando así el cerco económico y marítimo sobre Irán. Por otro, Reuters informó el 14 de abril que existen señales de una posible reanudación de conversaciones en los próximos días, nuevamente con mediación pakistaní. En consecuencia, el mercado quedó atrapado entre dos fuerzas opuestas: una mayor coerción operativa sobre Irán y una renovada, aunque todavía frágil, expectativa de negociación. Mientras ese equilibrio no se resuelva, la prima geopolítica seguirá siendo elevada y el riesgo sobre la logística energética del Golfo continuará siendo estructuralmente alto.</w:t>
      </w:r>
    </w:p>
    <w:p w14:paraId="24D30EF5" w14:textId="77777777" w:rsidR="00B01C7D" w:rsidRDefault="00B01C7D" w:rsidP="00B01C7D">
      <w:pPr>
        <w:shd w:val="clear" w:color="auto" w:fill="FFFFFF"/>
        <w:ind w:left="425"/>
        <w:jc w:val="both"/>
        <w:rPr>
          <w:rFonts w:ascii="Poppins" w:hAnsi="Poppins" w:cs="Poppins"/>
          <w:sz w:val="18"/>
          <w:szCs w:val="18"/>
        </w:rPr>
      </w:pPr>
    </w:p>
    <w:p w14:paraId="4FF1A605" w14:textId="77777777" w:rsidR="00B01C7D" w:rsidRPr="003A71C8" w:rsidRDefault="00B01C7D" w:rsidP="00B01C7D">
      <w:pPr>
        <w:pStyle w:val="Prrafodelista"/>
        <w:numPr>
          <w:ilvl w:val="0"/>
          <w:numId w:val="30"/>
        </w:numPr>
        <w:ind w:left="425"/>
        <w:contextualSpacing/>
        <w:jc w:val="both"/>
        <w:rPr>
          <w:rFonts w:ascii="Poppins" w:hAnsi="Poppins" w:cs="Poppins"/>
          <w:b/>
          <w:sz w:val="18"/>
          <w:szCs w:val="18"/>
        </w:rPr>
      </w:pPr>
      <w:r w:rsidRPr="003A71C8">
        <w:rPr>
          <w:rFonts w:ascii="Poppins" w:hAnsi="Poppins" w:cs="Poppins"/>
          <w:b/>
          <w:sz w:val="18"/>
          <w:szCs w:val="18"/>
        </w:rPr>
        <w:t>La crisis del Golfo Pérsico dejó de ser solo logística y golpeó directamente la oferta de crudo, GNL y refinados en Medio Oriente</w:t>
      </w:r>
    </w:p>
    <w:p w14:paraId="047ADF91" w14:textId="77777777" w:rsidR="00B01C7D" w:rsidRPr="003A71C8" w:rsidRDefault="00B01C7D" w:rsidP="00B01C7D">
      <w:pPr>
        <w:jc w:val="both"/>
        <w:rPr>
          <w:rFonts w:ascii="Poppins" w:hAnsi="Poppins" w:cs="Poppins"/>
          <w:b/>
          <w:sz w:val="18"/>
          <w:szCs w:val="18"/>
        </w:rPr>
      </w:pPr>
    </w:p>
    <w:p w14:paraId="78DF77AB" w14:textId="77777777" w:rsidR="00B01C7D" w:rsidRPr="003A71C8"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t>En crudo, la crisis dejó de ser una simple restricción de tránsito y se convirtió en una pérdida efectiva de oferta. Agencias de noticias reportaron que la guerra y el bloqueo de Ormuz provocaron una caída cercana a 13% de la producción petrolera regional, mientras Irak, uno de los productores más expuestos por no contar con una ruta alternativa al estrecho, vio desplomarse su producción desde alrededor de 4,3 millones de bpd previos al conflicto hasta cerca de 800</w:t>
      </w:r>
      <w:r>
        <w:rPr>
          <w:rFonts w:ascii="Poppins" w:hAnsi="Poppins" w:cs="Poppins"/>
          <w:sz w:val="18"/>
          <w:szCs w:val="18"/>
        </w:rPr>
        <w:t xml:space="preserve"> a </w:t>
      </w:r>
      <w:r w:rsidRPr="003A71C8">
        <w:rPr>
          <w:rFonts w:ascii="Poppins" w:hAnsi="Poppins" w:cs="Poppins"/>
          <w:sz w:val="18"/>
          <w:szCs w:val="18"/>
        </w:rPr>
        <w:t>900 mil bpd. Aunque Basra Oil (Empresa petrolera estatal iraquí) sostuvo luego que podría restaurar exportaciones cercanas a 3,4 millones de bpd en una semana si Ormuz reabre, aunque al inicio de abril el mercado seguía enfrentando una contracción real de oferta, no solo un retraso logístico.</w:t>
      </w:r>
    </w:p>
    <w:p w14:paraId="2FFECB97" w14:textId="77777777" w:rsidR="00B01C7D" w:rsidRPr="003A71C8" w:rsidRDefault="00B01C7D" w:rsidP="00B01C7D">
      <w:pPr>
        <w:shd w:val="clear" w:color="auto" w:fill="FFFFFF"/>
        <w:ind w:left="425"/>
        <w:jc w:val="both"/>
        <w:rPr>
          <w:rFonts w:ascii="Poppins" w:hAnsi="Poppins" w:cs="Poppins"/>
          <w:sz w:val="18"/>
          <w:szCs w:val="18"/>
        </w:rPr>
      </w:pPr>
    </w:p>
    <w:p w14:paraId="5CD52C0E" w14:textId="77777777" w:rsidR="00B01C7D" w:rsidRPr="003A71C8"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lastRenderedPageBreak/>
        <w:t>En combustibles refinados, el shock se trasladó con aún mayor intensidad al mercado. Reuters informó que el deterioro de la oferta regional de crudo y las disrupciones en movimientos de tanqueros llevaron al jet fuel (aviación) en el noroeste de Europa a alrededor de US$ 220 por barril, mientras el diésel europeo superó US$ 200 por barril, niveles que reflejaron una pérdida simultánea de suministro y capacidad de reabastecimiento. Incluso después del alivio parcial más reciente, Reuters señaló que en Asia los precios de jet fuel, gasoil y gasolina seguían muy por encima de los niveles previos al conflicto, con importaciones regionales de crudo en abril estimadas en apenas 19,22 millones de bpd, muy por debajo del promedio de 25 millones de bpd de los tres meses anteriores.</w:t>
      </w:r>
    </w:p>
    <w:p w14:paraId="79080ADF" w14:textId="77777777" w:rsidR="00B01C7D" w:rsidRPr="003A71C8" w:rsidRDefault="00B01C7D" w:rsidP="00B01C7D">
      <w:pPr>
        <w:shd w:val="clear" w:color="auto" w:fill="FFFFFF"/>
        <w:ind w:left="425"/>
        <w:jc w:val="both"/>
        <w:rPr>
          <w:rFonts w:ascii="Poppins" w:hAnsi="Poppins" w:cs="Poppins"/>
          <w:sz w:val="18"/>
          <w:szCs w:val="18"/>
        </w:rPr>
      </w:pPr>
    </w:p>
    <w:p w14:paraId="4495FB88" w14:textId="77777777" w:rsidR="00B01C7D" w:rsidRPr="003A71C8"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t>En GNL, el golpe fue estructural. Se reportó que los ataques sobre Ras Laffan dejaron fuera de operación cerca de 17% de la capacidad exportadora de GNL de Catar, equivalente a 12,8 millones de toneladas anuales, con un horizonte de reparación estimado de tres a cinco años. Ya en abril, QatarEnergy empezó a preparar una reanudación parcial de producción, pero se advirtió que la recuperación plena seguía dependiendo de una reapertura segura de Ormuz, mientras importadores como India seguían enfrentando escasez y terminales subutilizadas. En otras palabras, el mercado dejó de ver al GNL del Golfo como un flujo confiable e inmediato y pasó a tratarlo como una oferta dañada y condicionada por la evolución militar.</w:t>
      </w:r>
    </w:p>
    <w:p w14:paraId="48DF673F" w14:textId="77777777" w:rsidR="00B01C7D" w:rsidRPr="003A71C8" w:rsidRDefault="00B01C7D" w:rsidP="00B01C7D">
      <w:pPr>
        <w:shd w:val="clear" w:color="auto" w:fill="FFFFFF"/>
        <w:ind w:left="425"/>
        <w:jc w:val="both"/>
        <w:rPr>
          <w:rFonts w:ascii="Poppins" w:hAnsi="Poppins" w:cs="Poppins"/>
          <w:sz w:val="18"/>
          <w:szCs w:val="18"/>
        </w:rPr>
      </w:pPr>
    </w:p>
    <w:p w14:paraId="3D88C9BB" w14:textId="77777777" w:rsidR="00B01C7D" w:rsidRPr="003A71C8"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t>En conjunto, la crisis del Golfo dejó de ser una perturbación de transporte para convertirse en un shock integral de oferta energética. La región pasó a perder simultáneamente crudo, refinados, GNL y capacidad exportadora, con daños físicos, restricciones operativas y una reapertura todavía incierta de su principal corredor marítimo. Por ello, hacia el cierre del período analizado, el mercado ya no enfrentaba solo una prima geopolítica: enfrentaba una contracción material de oferta en uno de los núcleos energéticos más sensibles del mundo, con efectos inmediatos sobre precios y con secuelas que podrían extenderse incluso si el tránsito por Ormuz empieza a normalizarse.</w:t>
      </w:r>
    </w:p>
    <w:p w14:paraId="43AFEFB6" w14:textId="77777777" w:rsidR="00B01C7D" w:rsidRDefault="00B01C7D" w:rsidP="00B01C7D">
      <w:pPr>
        <w:shd w:val="clear" w:color="auto" w:fill="FFFFFF"/>
        <w:ind w:left="425"/>
        <w:jc w:val="both"/>
        <w:rPr>
          <w:rFonts w:ascii="Poppins" w:hAnsi="Poppins" w:cs="Poppins"/>
          <w:sz w:val="18"/>
          <w:szCs w:val="18"/>
          <w:highlight w:val="yellow"/>
        </w:rPr>
      </w:pPr>
    </w:p>
    <w:p w14:paraId="4F8BFEB8" w14:textId="77777777" w:rsidR="00B01C7D" w:rsidRPr="008A02D9" w:rsidRDefault="00B01C7D" w:rsidP="00B01C7D">
      <w:pPr>
        <w:pStyle w:val="Prrafodelista"/>
        <w:numPr>
          <w:ilvl w:val="0"/>
          <w:numId w:val="30"/>
        </w:numPr>
        <w:ind w:left="425"/>
        <w:contextualSpacing/>
        <w:jc w:val="both"/>
        <w:rPr>
          <w:rFonts w:ascii="Poppins" w:hAnsi="Poppins" w:cs="Poppins"/>
          <w:b/>
          <w:sz w:val="18"/>
          <w:szCs w:val="18"/>
        </w:rPr>
      </w:pPr>
      <w:r w:rsidRPr="008A02D9">
        <w:rPr>
          <w:rFonts w:ascii="Poppins" w:hAnsi="Poppins" w:cs="Poppins"/>
          <w:b/>
          <w:sz w:val="18"/>
          <w:szCs w:val="18"/>
        </w:rPr>
        <w:t>Ucrania atacó los puertos rusos de Ust-Luga y Primorsk, y en la última semana extendió la disrupción hacia Novorossiysk</w:t>
      </w:r>
    </w:p>
    <w:p w14:paraId="48B7BE5F" w14:textId="77777777" w:rsidR="00B01C7D" w:rsidRDefault="00B01C7D" w:rsidP="00B01C7D">
      <w:pPr>
        <w:shd w:val="clear" w:color="auto" w:fill="FFFFFF"/>
        <w:ind w:left="425"/>
        <w:jc w:val="both"/>
        <w:rPr>
          <w:rFonts w:ascii="Poppins" w:hAnsi="Poppins" w:cs="Poppins"/>
          <w:sz w:val="18"/>
          <w:szCs w:val="18"/>
          <w:highlight w:val="yellow"/>
        </w:rPr>
      </w:pPr>
    </w:p>
    <w:p w14:paraId="4C0F2112" w14:textId="77777777" w:rsidR="00B01C7D"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t>A fines de marzo, Ust-Luga y Primorsk, los dos principales terminales petroleros rusos en el Báltico, suspendieron cargas tras ataques con drones que agencias internacionales calificaron entre los más severos de la guerra contra infraestructura petrolera rusa. El golpe fue especialmente sensible porque ambos puertos concentran una fracción crítica de las exportaciones rusas de crudo y combustibles, por lo que la interrupción elevó de inmediato el riesgo sobre la continuidad y estabilidad de los flujos marítimos del país.</w:t>
      </w:r>
    </w:p>
    <w:p w14:paraId="7B749237" w14:textId="77777777" w:rsidR="00B01C7D" w:rsidRPr="003A71C8" w:rsidRDefault="00B01C7D" w:rsidP="00B01C7D">
      <w:pPr>
        <w:shd w:val="clear" w:color="auto" w:fill="FFFFFF"/>
        <w:ind w:left="425"/>
        <w:jc w:val="both"/>
        <w:rPr>
          <w:rFonts w:ascii="Poppins" w:hAnsi="Poppins" w:cs="Poppins"/>
          <w:sz w:val="18"/>
          <w:szCs w:val="18"/>
        </w:rPr>
      </w:pPr>
    </w:p>
    <w:p w14:paraId="421A50A6" w14:textId="77777777" w:rsidR="00B01C7D" w:rsidRPr="003A71C8" w:rsidRDefault="00B01C7D" w:rsidP="00B01C7D">
      <w:pPr>
        <w:shd w:val="clear" w:color="auto" w:fill="FFFFFF"/>
        <w:ind w:left="425"/>
        <w:jc w:val="both"/>
        <w:rPr>
          <w:rFonts w:ascii="Poppins" w:hAnsi="Poppins" w:cs="Poppins"/>
          <w:sz w:val="18"/>
          <w:szCs w:val="18"/>
        </w:rPr>
      </w:pPr>
      <w:r w:rsidRPr="003A71C8">
        <w:rPr>
          <w:rFonts w:ascii="Poppins" w:hAnsi="Poppins" w:cs="Poppins"/>
          <w:sz w:val="18"/>
          <w:szCs w:val="18"/>
        </w:rPr>
        <w:t>El impacto no quedó limitado a una paralización puntual. En los días siguientes, Reuters informó que Primorsk reanudó operaciones, pero con capacidad reducida por daños en infraestructura, mientras imágenes satelitales mostraron que había perdido cerca de 40% de su capacidad de almacenamiento, con ocho tanques de 50</w:t>
      </w:r>
      <w:r>
        <w:rPr>
          <w:rFonts w:ascii="Poppins" w:hAnsi="Poppins" w:cs="Poppins"/>
          <w:sz w:val="18"/>
          <w:szCs w:val="18"/>
        </w:rPr>
        <w:t xml:space="preserve"> </w:t>
      </w:r>
      <w:r w:rsidRPr="003A71C8">
        <w:rPr>
          <w:rFonts w:ascii="Poppins" w:hAnsi="Poppins" w:cs="Poppins"/>
          <w:sz w:val="18"/>
          <w:szCs w:val="18"/>
        </w:rPr>
        <w:t>000 m³ afectados. En Ust-Luga, otros ocho tanques de 30</w:t>
      </w:r>
      <w:r>
        <w:rPr>
          <w:rFonts w:ascii="Poppins" w:hAnsi="Poppins" w:cs="Poppins"/>
          <w:sz w:val="18"/>
          <w:szCs w:val="18"/>
        </w:rPr>
        <w:t xml:space="preserve"> </w:t>
      </w:r>
      <w:r w:rsidRPr="003A71C8">
        <w:rPr>
          <w:rFonts w:ascii="Poppins" w:hAnsi="Poppins" w:cs="Poppins"/>
          <w:sz w:val="18"/>
          <w:szCs w:val="18"/>
        </w:rPr>
        <w:t>000 m³ quedaron dañados, equivalentes a alrededor de 25% de su capacidad de almacenamiento de productos. Así, la presión dejó de ser solo operativa y pasó a reflejar una afectación física más duradera sobre el sistema exportador ruso.</w:t>
      </w:r>
    </w:p>
    <w:p w14:paraId="0694D623" w14:textId="77777777" w:rsidR="00B01C7D" w:rsidRPr="003A71C8" w:rsidRDefault="00B01C7D" w:rsidP="00B01C7D">
      <w:pPr>
        <w:shd w:val="clear" w:color="auto" w:fill="FFFFFF"/>
        <w:ind w:left="425"/>
        <w:jc w:val="both"/>
        <w:rPr>
          <w:rFonts w:ascii="Poppins" w:hAnsi="Poppins" w:cs="Poppins"/>
          <w:sz w:val="18"/>
          <w:szCs w:val="18"/>
        </w:rPr>
      </w:pPr>
    </w:p>
    <w:p w14:paraId="16E7AA6D" w14:textId="77777777" w:rsidR="00B01C7D" w:rsidRDefault="00B01C7D" w:rsidP="00B01C7D">
      <w:pPr>
        <w:shd w:val="clear" w:color="auto" w:fill="FFFFFF"/>
        <w:ind w:left="425"/>
        <w:jc w:val="both"/>
        <w:rPr>
          <w:rFonts w:ascii="Poppins" w:hAnsi="Poppins" w:cs="Poppins"/>
          <w:sz w:val="18"/>
          <w:szCs w:val="18"/>
        </w:rPr>
      </w:pPr>
      <w:r w:rsidRPr="00066574">
        <w:rPr>
          <w:rFonts w:ascii="Poppins" w:hAnsi="Poppins" w:cs="Poppins"/>
          <w:sz w:val="18"/>
          <w:szCs w:val="18"/>
        </w:rPr>
        <w:lastRenderedPageBreak/>
        <w:t>La disrupción luego se extendió al Mar Negro. El 7 de abril, el terminal Sheskharis de Novorossiysk suspendió parcialmente sus cargas tras un ataque con drones, afectando otro de los principales corredores de salida del crudo ruso. Aunque el 10 de abril comenzaron a reanudarse algunas operaciones, el alivio fue transitorio, pues el 13 de abril medios internacionales volvieron a reportar daños severos en el mismo nodo, con paralización de dos de sus principales atraques y desvío de crudo hacia Tuapse</w:t>
      </w:r>
      <w:r>
        <w:rPr>
          <w:rFonts w:ascii="Poppins" w:hAnsi="Poppins" w:cs="Poppins"/>
          <w:sz w:val="18"/>
          <w:szCs w:val="18"/>
        </w:rPr>
        <w:t xml:space="preserve"> (Terminal en el Mar Negro ubicado en Krasnodar)</w:t>
      </w:r>
      <w:r w:rsidRPr="00066574">
        <w:rPr>
          <w:rFonts w:ascii="Poppins" w:hAnsi="Poppins" w:cs="Poppins"/>
          <w:sz w:val="18"/>
          <w:szCs w:val="18"/>
        </w:rPr>
        <w:t>. En ese contexto, y luego de que reportes previos ya advirtieran que entre el 1 y el 12 de marzo las exportaciones rusas habían caído 14%, hasta 3,6 millones bpd, el mercado pasó a interpretar los ataques ucranianos no como episodios aislados, sino como una amenaza sostenida sobre la estabilidad exportadora rusa.</w:t>
      </w:r>
    </w:p>
    <w:p w14:paraId="5081C36E" w14:textId="77777777" w:rsidR="00B01C7D" w:rsidRDefault="00B01C7D" w:rsidP="00B01C7D">
      <w:pPr>
        <w:shd w:val="clear" w:color="auto" w:fill="FFFFFF"/>
        <w:ind w:left="425"/>
        <w:jc w:val="both"/>
        <w:rPr>
          <w:rFonts w:ascii="Poppins" w:hAnsi="Poppins" w:cs="Poppins"/>
          <w:sz w:val="18"/>
          <w:szCs w:val="18"/>
        </w:rPr>
      </w:pPr>
    </w:p>
    <w:p w14:paraId="1D3336C5" w14:textId="77777777" w:rsidR="00B01C7D" w:rsidRPr="006943DA" w:rsidRDefault="00B01C7D" w:rsidP="00B01C7D">
      <w:pPr>
        <w:pStyle w:val="Prrafodelista"/>
        <w:numPr>
          <w:ilvl w:val="0"/>
          <w:numId w:val="30"/>
        </w:numPr>
        <w:ind w:left="425"/>
        <w:contextualSpacing/>
        <w:jc w:val="both"/>
        <w:rPr>
          <w:rFonts w:ascii="Poppins" w:hAnsi="Poppins" w:cs="Poppins"/>
          <w:b/>
          <w:sz w:val="18"/>
          <w:szCs w:val="18"/>
        </w:rPr>
      </w:pPr>
      <w:r w:rsidRPr="006943DA">
        <w:rPr>
          <w:rFonts w:ascii="Poppins" w:hAnsi="Poppins" w:cs="Poppins"/>
          <w:b/>
          <w:sz w:val="18"/>
          <w:szCs w:val="18"/>
        </w:rPr>
        <w:t>La OPEP retomó en mayo sus aumentos graduales de cuotas de producción</w:t>
      </w:r>
    </w:p>
    <w:p w14:paraId="50C8D4F2" w14:textId="77777777" w:rsidR="00B01C7D" w:rsidRDefault="00B01C7D" w:rsidP="00B01C7D">
      <w:pPr>
        <w:shd w:val="clear" w:color="auto" w:fill="FFFFFF"/>
        <w:ind w:left="425"/>
        <w:jc w:val="both"/>
        <w:rPr>
          <w:rFonts w:ascii="Poppins" w:hAnsi="Poppins" w:cs="Poppins"/>
          <w:sz w:val="18"/>
          <w:szCs w:val="18"/>
          <w:highlight w:val="yellow"/>
        </w:rPr>
      </w:pPr>
    </w:p>
    <w:p w14:paraId="439E164A" w14:textId="77777777" w:rsidR="00B01C7D" w:rsidRPr="008A02D9" w:rsidRDefault="00B01C7D" w:rsidP="00B01C7D">
      <w:pPr>
        <w:shd w:val="clear" w:color="auto" w:fill="FFFFFF"/>
        <w:ind w:left="425"/>
        <w:jc w:val="both"/>
        <w:rPr>
          <w:rFonts w:ascii="Poppins" w:hAnsi="Poppins" w:cs="Poppins"/>
          <w:sz w:val="18"/>
          <w:szCs w:val="18"/>
        </w:rPr>
      </w:pPr>
      <w:r w:rsidRPr="008A02D9">
        <w:rPr>
          <w:rFonts w:ascii="Poppins" w:hAnsi="Poppins" w:cs="Poppins"/>
          <w:sz w:val="18"/>
          <w:szCs w:val="18"/>
        </w:rPr>
        <w:t>Tras acordar el 1 de marzo una sub</w:t>
      </w:r>
      <w:r>
        <w:rPr>
          <w:rFonts w:ascii="Poppins" w:hAnsi="Poppins" w:cs="Poppins"/>
          <w:sz w:val="18"/>
          <w:szCs w:val="18"/>
        </w:rPr>
        <w:t>ida</w:t>
      </w:r>
      <w:r w:rsidRPr="008A02D9">
        <w:rPr>
          <w:rFonts w:ascii="Poppins" w:hAnsi="Poppins" w:cs="Poppins"/>
          <w:sz w:val="18"/>
          <w:szCs w:val="18"/>
        </w:rPr>
        <w:t xml:space="preserve"> de 206 mil bpd para abril, los ocho países que venían aplicando recortes voluntarios adicionales ratificaron el 5 de abril un nuevo incremento de 206 mil bpd para mayo, dentro del desmonte paulatino del ajuste extraordinario de 1,65 millones bpd aprobado en 2023. La organización sostuvo que el retorno de esos barriles podrá ajustarse </w:t>
      </w:r>
      <w:r w:rsidRPr="00E25DA6">
        <w:rPr>
          <w:rFonts w:ascii="Poppins" w:hAnsi="Poppins" w:cs="Poppins"/>
          <w:i/>
          <w:iCs/>
          <w:sz w:val="18"/>
          <w:szCs w:val="18"/>
        </w:rPr>
        <w:t xml:space="preserve">“parcial o totalmente” </w:t>
      </w:r>
      <w:r w:rsidRPr="008A02D9">
        <w:rPr>
          <w:rFonts w:ascii="Poppins" w:hAnsi="Poppins" w:cs="Poppins"/>
          <w:sz w:val="18"/>
          <w:szCs w:val="18"/>
        </w:rPr>
        <w:t>según evolucionen las condiciones del mercado, lo que dejó claro que no se trata de un levantamiento automático, sino de una reapertura gradual y condicionada.</w:t>
      </w:r>
    </w:p>
    <w:p w14:paraId="22C9EE93" w14:textId="77777777" w:rsidR="00B01C7D" w:rsidRPr="008A02D9" w:rsidRDefault="00B01C7D" w:rsidP="00B01C7D">
      <w:pPr>
        <w:shd w:val="clear" w:color="auto" w:fill="FFFFFF"/>
        <w:ind w:left="425"/>
        <w:jc w:val="both"/>
        <w:rPr>
          <w:rFonts w:ascii="Poppins" w:hAnsi="Poppins" w:cs="Poppins"/>
          <w:sz w:val="18"/>
          <w:szCs w:val="18"/>
        </w:rPr>
      </w:pPr>
    </w:p>
    <w:p w14:paraId="37D24123" w14:textId="6FEE3092" w:rsidR="00B01C7D" w:rsidRDefault="00B01C7D" w:rsidP="00B01C7D">
      <w:pPr>
        <w:shd w:val="clear" w:color="auto" w:fill="FFFFFF"/>
        <w:ind w:left="425"/>
        <w:jc w:val="both"/>
        <w:rPr>
          <w:rFonts w:ascii="Poppins" w:hAnsi="Poppins" w:cs="Poppins"/>
          <w:sz w:val="18"/>
          <w:szCs w:val="18"/>
        </w:rPr>
      </w:pPr>
      <w:r w:rsidRPr="008A02D9">
        <w:rPr>
          <w:rFonts w:ascii="Poppins" w:hAnsi="Poppins" w:cs="Poppins"/>
          <w:sz w:val="18"/>
          <w:szCs w:val="18"/>
        </w:rPr>
        <w:t>En plena disrupción del Golfo</w:t>
      </w:r>
      <w:r>
        <w:rPr>
          <w:rFonts w:ascii="Poppins" w:hAnsi="Poppins" w:cs="Poppins"/>
          <w:sz w:val="18"/>
          <w:szCs w:val="18"/>
        </w:rPr>
        <w:t xml:space="preserve"> Pérsico</w:t>
      </w:r>
      <w:r w:rsidRPr="008A02D9">
        <w:rPr>
          <w:rFonts w:ascii="Poppins" w:hAnsi="Poppins" w:cs="Poppins"/>
          <w:sz w:val="18"/>
          <w:szCs w:val="18"/>
        </w:rPr>
        <w:t>, con Ormuz todavía bajo fuerte presión, Reuters señaló que el aumento aprobado para mayo lucía más simbólico que efectivo, porque varios productores clave no estaban en condiciones de traducir de inmediato una mayor cuota en más barriles exportables. De hecho, la propia OPEP informó después que la producción del grupo se desplomó en marzo y recortó en 500 mil bpd su previsión de demanda mundial para el segundo trimestre, lo que reforzó la idea de que el aumento aprobado buscó sostener una señal de normalidad y disciplina, más que compensar realmente el shock de oferta que seguía afectando al mercado.</w:t>
      </w:r>
    </w:p>
    <w:p w14:paraId="1FCA32F9" w14:textId="77777777" w:rsidR="00725618" w:rsidRDefault="00725618" w:rsidP="00B01C7D">
      <w:pPr>
        <w:shd w:val="clear" w:color="auto" w:fill="FFFFFF"/>
        <w:ind w:left="425"/>
        <w:jc w:val="both"/>
        <w:rPr>
          <w:rFonts w:ascii="Poppins" w:hAnsi="Poppins" w:cs="Poppins"/>
          <w:sz w:val="18"/>
          <w:szCs w:val="18"/>
        </w:rPr>
      </w:pPr>
    </w:p>
    <w:p w14:paraId="1819BD59" w14:textId="77777777" w:rsidR="00B01C7D" w:rsidRPr="00FE1877" w:rsidRDefault="00B01C7D" w:rsidP="00B01C7D">
      <w:pPr>
        <w:pStyle w:val="Prrafodelista"/>
        <w:numPr>
          <w:ilvl w:val="0"/>
          <w:numId w:val="30"/>
        </w:numPr>
        <w:ind w:left="425"/>
        <w:contextualSpacing/>
        <w:jc w:val="both"/>
        <w:rPr>
          <w:rFonts w:ascii="Poppins" w:hAnsi="Poppins" w:cs="Poppins"/>
          <w:b/>
          <w:sz w:val="18"/>
          <w:szCs w:val="18"/>
        </w:rPr>
      </w:pPr>
      <w:r w:rsidRPr="00FE1877">
        <w:rPr>
          <w:rFonts w:ascii="Poppins" w:hAnsi="Poppins" w:cs="Poppins"/>
          <w:b/>
          <w:sz w:val="18"/>
          <w:szCs w:val="18"/>
        </w:rPr>
        <w:t xml:space="preserve">La inflación en EE.UU. repuntó por el </w:t>
      </w:r>
      <w:r w:rsidRPr="00522BFD">
        <w:rPr>
          <w:rFonts w:ascii="Poppins" w:hAnsi="Poppins" w:cs="Poppins"/>
          <w:b/>
          <w:i/>
          <w:iCs/>
          <w:sz w:val="18"/>
          <w:szCs w:val="18"/>
        </w:rPr>
        <w:t>shock</w:t>
      </w:r>
      <w:r w:rsidRPr="00FE1877">
        <w:rPr>
          <w:rFonts w:ascii="Poppins" w:hAnsi="Poppins" w:cs="Poppins"/>
          <w:b/>
          <w:sz w:val="18"/>
          <w:szCs w:val="18"/>
        </w:rPr>
        <w:t xml:space="preserve"> energético</w:t>
      </w:r>
    </w:p>
    <w:p w14:paraId="2E81CCCF" w14:textId="77777777" w:rsidR="00B01C7D" w:rsidRPr="00FE1877" w:rsidRDefault="00B01C7D" w:rsidP="00B01C7D">
      <w:pPr>
        <w:shd w:val="clear" w:color="auto" w:fill="FFFFFF"/>
        <w:ind w:left="425"/>
        <w:jc w:val="both"/>
        <w:rPr>
          <w:rFonts w:ascii="Poppins" w:hAnsi="Poppins" w:cs="Poppins"/>
          <w:sz w:val="18"/>
          <w:szCs w:val="18"/>
        </w:rPr>
      </w:pPr>
    </w:p>
    <w:p w14:paraId="449AF3FF" w14:textId="77777777" w:rsidR="00B01C7D" w:rsidRPr="00FE1877" w:rsidRDefault="00B01C7D" w:rsidP="00B01C7D">
      <w:pPr>
        <w:shd w:val="clear" w:color="auto" w:fill="FFFFFF"/>
        <w:ind w:left="425"/>
        <w:jc w:val="both"/>
        <w:rPr>
          <w:rFonts w:ascii="Poppins" w:hAnsi="Poppins" w:cs="Poppins"/>
          <w:sz w:val="18"/>
          <w:szCs w:val="18"/>
        </w:rPr>
      </w:pPr>
      <w:r w:rsidRPr="0048739F">
        <w:rPr>
          <w:rFonts w:ascii="Poppins" w:hAnsi="Poppins" w:cs="Poppins"/>
          <w:sz w:val="18"/>
          <w:szCs w:val="18"/>
        </w:rPr>
        <w:t>En marzo, la inflación en Estados Unidos se aceleró con claridad. El IPC (Índice de Precios al Consumidor) subió 0,9% mensual y 3,3% interanual, mientras la inflación subyacente, que excluye alimentos y energía, avanzó solo 0,2% mensual. Esto mostró que el principal impulso no vino de una presión de precios, sino del encarecimiento abrupto de la energía.</w:t>
      </w:r>
    </w:p>
    <w:p w14:paraId="078F4C77" w14:textId="77777777" w:rsidR="00B01C7D" w:rsidRPr="0048739F" w:rsidRDefault="00B01C7D" w:rsidP="00B01C7D">
      <w:pPr>
        <w:shd w:val="clear" w:color="auto" w:fill="FFFFFF"/>
        <w:ind w:left="425"/>
        <w:jc w:val="both"/>
        <w:rPr>
          <w:rFonts w:ascii="Poppins" w:hAnsi="Poppins" w:cs="Poppins"/>
          <w:sz w:val="18"/>
          <w:szCs w:val="18"/>
        </w:rPr>
      </w:pPr>
    </w:p>
    <w:p w14:paraId="1F752801" w14:textId="2B123D85" w:rsidR="00B01C7D" w:rsidRDefault="00B01C7D" w:rsidP="00B01C7D">
      <w:pPr>
        <w:shd w:val="clear" w:color="auto" w:fill="FFFFFF"/>
        <w:ind w:left="425"/>
        <w:jc w:val="both"/>
        <w:rPr>
          <w:rFonts w:ascii="Poppins" w:hAnsi="Poppins" w:cs="Poppins"/>
          <w:sz w:val="18"/>
          <w:szCs w:val="18"/>
        </w:rPr>
      </w:pPr>
      <w:r w:rsidRPr="0048739F">
        <w:rPr>
          <w:rFonts w:ascii="Poppins" w:hAnsi="Poppins" w:cs="Poppins"/>
          <w:sz w:val="18"/>
          <w:szCs w:val="18"/>
        </w:rPr>
        <w:t>El componente energético fue decisivo</w:t>
      </w:r>
      <w:r>
        <w:rPr>
          <w:rFonts w:ascii="Poppins" w:hAnsi="Poppins" w:cs="Poppins"/>
          <w:sz w:val="18"/>
          <w:szCs w:val="18"/>
        </w:rPr>
        <w:t xml:space="preserve"> ya que s</w:t>
      </w:r>
      <w:r w:rsidRPr="0048739F">
        <w:rPr>
          <w:rFonts w:ascii="Poppins" w:hAnsi="Poppins" w:cs="Poppins"/>
          <w:sz w:val="18"/>
          <w:szCs w:val="18"/>
        </w:rPr>
        <w:t xml:space="preserve">egún la BLS (Bureau of Labor Statistics, Oficina de Estadísticas Laborales de EE.UU.), el índice de energía aumentó 10,9% en marzo, liderado por un salto de 21,2% en la gasolina, el mayor desde que esa serie comenzó a publicarse en 1967; además, el </w:t>
      </w:r>
      <w:r>
        <w:rPr>
          <w:rFonts w:ascii="Poppins" w:hAnsi="Poppins" w:cs="Poppins"/>
          <w:sz w:val="18"/>
          <w:szCs w:val="18"/>
        </w:rPr>
        <w:t>F</w:t>
      </w:r>
      <w:r w:rsidRPr="0048739F">
        <w:rPr>
          <w:rFonts w:ascii="Poppins" w:hAnsi="Poppins" w:cs="Poppins"/>
          <w:sz w:val="18"/>
          <w:szCs w:val="18"/>
        </w:rPr>
        <w:t xml:space="preserve">uel </w:t>
      </w:r>
      <w:r>
        <w:rPr>
          <w:rFonts w:ascii="Poppins" w:hAnsi="Poppins" w:cs="Poppins"/>
          <w:sz w:val="18"/>
          <w:szCs w:val="18"/>
        </w:rPr>
        <w:t>O</w:t>
      </w:r>
      <w:r w:rsidRPr="0048739F">
        <w:rPr>
          <w:rFonts w:ascii="Poppins" w:hAnsi="Poppins" w:cs="Poppins"/>
          <w:sz w:val="18"/>
          <w:szCs w:val="18"/>
        </w:rPr>
        <w:t>il</w:t>
      </w:r>
      <w:r>
        <w:rPr>
          <w:rFonts w:ascii="Poppins" w:hAnsi="Poppins" w:cs="Poppins"/>
          <w:sz w:val="18"/>
          <w:szCs w:val="18"/>
        </w:rPr>
        <w:t xml:space="preserve"> (combustible para calefacción residencial)</w:t>
      </w:r>
      <w:r w:rsidRPr="0048739F">
        <w:rPr>
          <w:rFonts w:ascii="Poppins" w:hAnsi="Poppins" w:cs="Poppins"/>
          <w:sz w:val="18"/>
          <w:szCs w:val="18"/>
        </w:rPr>
        <w:t xml:space="preserve"> subió 30,7%. La gasolina explicó casi tres cuartas partes del aumento mensual del IPC, confirmando que el conflicto y el alza del crudo ya se trasladaban con fuerza a</w:t>
      </w:r>
      <w:r>
        <w:rPr>
          <w:rFonts w:ascii="Poppins" w:hAnsi="Poppins" w:cs="Poppins"/>
          <w:sz w:val="18"/>
          <w:szCs w:val="18"/>
        </w:rPr>
        <w:t xml:space="preserve"> los </w:t>
      </w:r>
      <w:r w:rsidRPr="0048739F">
        <w:rPr>
          <w:rFonts w:ascii="Poppins" w:hAnsi="Poppins" w:cs="Poppins"/>
          <w:sz w:val="18"/>
          <w:szCs w:val="18"/>
        </w:rPr>
        <w:t>consumidor</w:t>
      </w:r>
      <w:r>
        <w:rPr>
          <w:rFonts w:ascii="Poppins" w:hAnsi="Poppins" w:cs="Poppins"/>
          <w:sz w:val="18"/>
          <w:szCs w:val="18"/>
        </w:rPr>
        <w:t>es</w:t>
      </w:r>
      <w:r w:rsidRPr="0048739F">
        <w:rPr>
          <w:rFonts w:ascii="Poppins" w:hAnsi="Poppins" w:cs="Poppins"/>
          <w:sz w:val="18"/>
          <w:szCs w:val="18"/>
        </w:rPr>
        <w:t>.</w:t>
      </w:r>
    </w:p>
    <w:p w14:paraId="75CEE098" w14:textId="1C8B19C9" w:rsidR="00725618" w:rsidRDefault="00725618" w:rsidP="00B01C7D">
      <w:pPr>
        <w:shd w:val="clear" w:color="auto" w:fill="FFFFFF"/>
        <w:ind w:left="425"/>
        <w:jc w:val="both"/>
        <w:rPr>
          <w:rFonts w:ascii="Poppins" w:hAnsi="Poppins" w:cs="Poppins"/>
          <w:sz w:val="18"/>
          <w:szCs w:val="18"/>
        </w:rPr>
      </w:pPr>
    </w:p>
    <w:p w14:paraId="1F690385" w14:textId="77777777" w:rsidR="00725618" w:rsidRPr="0048739F" w:rsidRDefault="00725618" w:rsidP="00B01C7D">
      <w:pPr>
        <w:shd w:val="clear" w:color="auto" w:fill="FFFFFF"/>
        <w:ind w:left="425"/>
        <w:jc w:val="both"/>
        <w:rPr>
          <w:rFonts w:ascii="Poppins" w:hAnsi="Poppins" w:cs="Poppins"/>
          <w:sz w:val="18"/>
          <w:szCs w:val="18"/>
        </w:rPr>
      </w:pPr>
    </w:p>
    <w:p w14:paraId="6C8C7FBC" w14:textId="77777777" w:rsidR="00B01C7D" w:rsidRPr="0013762F" w:rsidRDefault="00B01C7D" w:rsidP="00B01C7D">
      <w:pPr>
        <w:shd w:val="clear" w:color="auto" w:fill="FFFFFF"/>
        <w:ind w:left="425"/>
        <w:jc w:val="both"/>
        <w:rPr>
          <w:rFonts w:ascii="Poppins" w:hAnsi="Poppins" w:cs="Poppins"/>
          <w:sz w:val="18"/>
          <w:szCs w:val="18"/>
          <w:highlight w:val="yellow"/>
        </w:rPr>
      </w:pPr>
    </w:p>
    <w:p w14:paraId="650D332D" w14:textId="77777777" w:rsidR="00B01C7D" w:rsidRPr="00D36B36" w:rsidRDefault="00B01C7D" w:rsidP="00B01C7D">
      <w:pPr>
        <w:pStyle w:val="Prrafodelista"/>
        <w:numPr>
          <w:ilvl w:val="0"/>
          <w:numId w:val="30"/>
        </w:numPr>
        <w:ind w:left="425"/>
        <w:contextualSpacing/>
        <w:jc w:val="both"/>
        <w:rPr>
          <w:rFonts w:ascii="Poppins" w:hAnsi="Poppins" w:cs="Poppins"/>
          <w:b/>
          <w:sz w:val="18"/>
          <w:szCs w:val="18"/>
        </w:rPr>
      </w:pPr>
      <w:r w:rsidRPr="00D36B36">
        <w:rPr>
          <w:rFonts w:ascii="Poppins" w:hAnsi="Poppins" w:cs="Poppins"/>
          <w:b/>
          <w:sz w:val="18"/>
          <w:szCs w:val="18"/>
        </w:rPr>
        <w:lastRenderedPageBreak/>
        <w:t>Venezuela y Arabia Saudita emergieron como amortiguadores parciales del mercado, pero su mayor oferta no alcanzó para neutralizar el shock del Golfo Pérsico</w:t>
      </w:r>
    </w:p>
    <w:p w14:paraId="46712422" w14:textId="77777777" w:rsidR="00B01C7D" w:rsidRPr="00D36B36" w:rsidRDefault="00B01C7D" w:rsidP="00B01C7D">
      <w:pPr>
        <w:shd w:val="clear" w:color="auto" w:fill="FFFFFF"/>
        <w:ind w:left="425"/>
        <w:jc w:val="both"/>
        <w:rPr>
          <w:rFonts w:ascii="Poppins" w:hAnsi="Poppins" w:cs="Poppins"/>
          <w:sz w:val="18"/>
          <w:szCs w:val="18"/>
        </w:rPr>
      </w:pPr>
    </w:p>
    <w:p w14:paraId="7D83FD92" w14:textId="77777777" w:rsidR="00B01C7D" w:rsidRPr="00D36B36" w:rsidRDefault="00B01C7D" w:rsidP="00B01C7D">
      <w:pPr>
        <w:shd w:val="clear" w:color="auto" w:fill="FFFFFF"/>
        <w:ind w:left="425"/>
        <w:jc w:val="both"/>
        <w:rPr>
          <w:rFonts w:ascii="Poppins" w:hAnsi="Poppins" w:cs="Poppins"/>
          <w:sz w:val="18"/>
          <w:szCs w:val="18"/>
        </w:rPr>
      </w:pPr>
      <w:r w:rsidRPr="00D36B36">
        <w:rPr>
          <w:rFonts w:ascii="Poppins" w:hAnsi="Poppins" w:cs="Poppins"/>
          <w:sz w:val="18"/>
          <w:szCs w:val="18"/>
        </w:rPr>
        <w:t xml:space="preserve">En medio de la crisis del Golfo, Arabia Saudita y Venezuela emergieron como los principales amortiguadores parciales del mercado. Arabia Saudita redirigió crudo hacia Yanbu, su gran puerto sobre el Mar Rojo, utilizando el oleoducto East-West, que puede enviar hasta 7 millones de bpd; de ese volumen, alrededor de 5 millones de bpd podrían quedar disponibles para exportación, y a fines de marzo los embarques desde Yanbu se acercaron a 4,6 millones de bpd. Incluso tras el ataque iraní al oleoducto, las cargas en Yanbu continuaron, confirmando que la infraestructura saudí seguía funcionando como bypass parcial de Ormuz. En paralelo, Venezuela elevó sus exportaciones a 1,09 millones de bpd en marzo, su mayor nivel en seis meses, favorecida por la flexibilización de autorizaciones de EE.UU.; sin embargo, la EIA ahora ubica su producción de crudo en 0,88 millones de bpd en el primer trimestre de 2026, por lo que el repunte exportador luce más como un alivio comercial puntual que como una expansión estructural de gran escala, aunque con crecimiento sostenido. </w:t>
      </w:r>
    </w:p>
    <w:p w14:paraId="4BA3C658" w14:textId="77777777" w:rsidR="00B01C7D" w:rsidRPr="00D36B36" w:rsidRDefault="00B01C7D" w:rsidP="00B01C7D">
      <w:pPr>
        <w:shd w:val="clear" w:color="auto" w:fill="FFFFFF"/>
        <w:ind w:left="425"/>
        <w:jc w:val="both"/>
        <w:rPr>
          <w:rFonts w:ascii="Poppins" w:hAnsi="Poppins" w:cs="Poppins"/>
          <w:sz w:val="18"/>
          <w:szCs w:val="18"/>
        </w:rPr>
      </w:pPr>
    </w:p>
    <w:p w14:paraId="64FD04FE" w14:textId="77777777" w:rsidR="00B01C7D" w:rsidRPr="00D36B36" w:rsidRDefault="00B01C7D" w:rsidP="00B01C7D">
      <w:pPr>
        <w:shd w:val="clear" w:color="auto" w:fill="FFFFFF"/>
        <w:ind w:left="425"/>
        <w:jc w:val="both"/>
        <w:rPr>
          <w:rFonts w:ascii="Poppins" w:hAnsi="Poppins" w:cs="Poppins"/>
          <w:sz w:val="18"/>
          <w:szCs w:val="18"/>
        </w:rPr>
      </w:pPr>
      <w:r w:rsidRPr="00D36B36">
        <w:rPr>
          <w:rFonts w:ascii="Poppins" w:hAnsi="Poppins" w:cs="Poppins"/>
          <w:sz w:val="18"/>
          <w:szCs w:val="18"/>
        </w:rPr>
        <w:t>Aun así, el efecto de ambos fue claramente el de un amortiguador parcial, no el de una solución de fondo. El cierre de Ormuz siguió afectando mientras el propio mercado enfrentaba cierres, daños y restricciones que superaban ampliamente lo que podían compensar los barriles adicionales de Yanbu o Venezuela. Además, Arabia Saudita siguió expuesta a nuevos ataques sobre su infraestructura de evacuación, y Venezuela mantuvo severos límites internos con su red de refinación operando a solo 31% de capacidad, reflejando fragilidad operativa incluso en medio del repunte exportador. En otras palabras, ambos países ayudaron a evitar un desbalance aún mayor, pero no lograron disipar ni sustituir plenamente la oferta perdida o bloqueada en el Golfo.</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433FCC90" w14:textId="01977D91" w:rsidR="00C85B7F" w:rsidRDefault="00C85B7F"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0E2DAFBC" w:rsidR="00C85B7F" w:rsidRDefault="00C85B7F"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3F9D2E33"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w:t>
      </w:r>
      <w:r w:rsidR="00AA7D7A">
        <w:rPr>
          <w:rFonts w:ascii="Poppins" w:hAnsi="Poppins" w:cs="Poppins"/>
          <w:sz w:val="18"/>
          <w:szCs w:val="18"/>
        </w:rPr>
        <w:t>8</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marzo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AA7D7A">
        <w:rPr>
          <w:rFonts w:ascii="Poppins" w:hAnsi="Poppins" w:cs="Poppins"/>
          <w:sz w:val="18"/>
          <w:szCs w:val="18"/>
        </w:rPr>
        <w:t>30</w:t>
      </w:r>
      <w:r w:rsidRPr="00581B20">
        <w:rPr>
          <w:rFonts w:ascii="Poppins" w:hAnsi="Poppins" w:cs="Poppins"/>
          <w:sz w:val="18"/>
          <w:szCs w:val="18"/>
        </w:rPr>
        <w:t xml:space="preserve"> de </w:t>
      </w:r>
      <w:r w:rsidR="00AA7D7A">
        <w:rPr>
          <w:rFonts w:ascii="Poppins" w:hAnsi="Poppins" w:cs="Poppins"/>
          <w:sz w:val="18"/>
          <w:szCs w:val="18"/>
        </w:rPr>
        <w:t>abril</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7957BA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AA7D7A">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AA7D7A">
        <w:rPr>
          <w:rFonts w:ascii="Poppins" w:hAnsi="Poppins" w:cs="Poppins"/>
          <w:sz w:val="18"/>
          <w:szCs w:val="18"/>
        </w:rPr>
        <w:t>o</w:t>
      </w:r>
      <w:r w:rsidR="00E26DC5">
        <w:rPr>
          <w:rFonts w:ascii="Poppins" w:hAnsi="Poppins" w:cs="Poppins"/>
          <w:sz w:val="18"/>
          <w:szCs w:val="18"/>
        </w:rPr>
        <w:t>n</w:t>
      </w:r>
      <w:r w:rsidR="00AA7D7A">
        <w:rPr>
          <w:rFonts w:ascii="Poppins" w:hAnsi="Poppins" w:cs="Poppins"/>
          <w:sz w:val="18"/>
          <w:szCs w:val="18"/>
        </w:rPr>
        <w:t>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AA7D7A">
        <w:rPr>
          <w:rFonts w:ascii="Poppins" w:hAnsi="Poppins" w:cs="Poppins"/>
          <w:sz w:val="18"/>
          <w:szCs w:val="18"/>
        </w:rPr>
        <w:t xml:space="preserve"> y </w:t>
      </w:r>
      <w:r w:rsidR="00AA7D7A" w:rsidRPr="0096213B">
        <w:rPr>
          <w:rFonts w:ascii="Poppins" w:hAnsi="Poppins" w:cs="Poppins"/>
          <w:sz w:val="18"/>
          <w:szCs w:val="18"/>
        </w:rPr>
        <w:t xml:space="preserve">N° </w:t>
      </w:r>
      <w:r w:rsidR="00AA7D7A">
        <w:rPr>
          <w:rFonts w:ascii="Poppins" w:hAnsi="Poppins" w:cs="Poppins"/>
          <w:sz w:val="18"/>
          <w:szCs w:val="18"/>
        </w:rPr>
        <w:t>008</w:t>
      </w:r>
      <w:r w:rsidR="00AA7D7A" w:rsidRPr="0096213B">
        <w:rPr>
          <w:rFonts w:ascii="Poppins" w:hAnsi="Poppins" w:cs="Poppins"/>
          <w:sz w:val="18"/>
          <w:szCs w:val="18"/>
        </w:rPr>
        <w:t>-202</w:t>
      </w:r>
      <w:r w:rsidR="00AA7D7A">
        <w:rPr>
          <w:rFonts w:ascii="Poppins" w:hAnsi="Poppins" w:cs="Poppins"/>
          <w:sz w:val="18"/>
          <w:szCs w:val="18"/>
        </w:rPr>
        <w:t>6</w:t>
      </w:r>
      <w:r w:rsidR="00AA7D7A" w:rsidRPr="0096213B">
        <w:rPr>
          <w:rFonts w:ascii="Poppins" w:hAnsi="Poppins" w:cs="Poppins"/>
          <w:sz w:val="18"/>
          <w:szCs w:val="18"/>
        </w:rPr>
        <w:t>-OS/GR</w:t>
      </w:r>
      <w:r w:rsidR="00AA7D7A">
        <w:rPr>
          <w:rFonts w:ascii="Poppins" w:hAnsi="Poppins" w:cs="Poppins"/>
          <w:sz w:val="18"/>
          <w:szCs w:val="18"/>
        </w:rPr>
        <w:t>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5E1751">
        <w:rPr>
          <w:rFonts w:ascii="Poppins" w:hAnsi="Poppins" w:cs="Poppins"/>
          <w:sz w:val="18"/>
          <w:szCs w:val="18"/>
        </w:rPr>
        <w:t>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E1751">
        <w:rPr>
          <w:rFonts w:ascii="Poppins" w:hAnsi="Poppins" w:cs="Poppins"/>
          <w:sz w:val="18"/>
          <w:szCs w:val="18"/>
        </w:rPr>
        <w:t>abril</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55A5E">
        <w:rPr>
          <w:rFonts w:ascii="Poppins" w:hAnsi="Poppins" w:cs="Poppins"/>
          <w:sz w:val="18"/>
          <w:szCs w:val="18"/>
        </w:rPr>
        <w:t>lunes</w:t>
      </w:r>
      <w:r w:rsidR="00E059C7">
        <w:rPr>
          <w:rFonts w:ascii="Poppins" w:hAnsi="Poppins" w:cs="Poppins"/>
          <w:sz w:val="18"/>
          <w:szCs w:val="18"/>
        </w:rPr>
        <w:t xml:space="preserve"> </w:t>
      </w:r>
      <w:r w:rsidR="005E1751">
        <w:rPr>
          <w:rFonts w:ascii="Poppins" w:hAnsi="Poppins" w:cs="Poppins"/>
          <w:sz w:val="18"/>
          <w:szCs w:val="18"/>
        </w:rPr>
        <w:t>13</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55A5E">
        <w:rPr>
          <w:rFonts w:ascii="Poppins" w:hAnsi="Poppins" w:cs="Poppins"/>
          <w:sz w:val="18"/>
          <w:szCs w:val="18"/>
        </w:rPr>
        <w:t>abril</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2502485"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AA7D7A">
        <w:rPr>
          <w:rFonts w:ascii="Poppins" w:hAnsi="Poppins" w:cs="Poppins"/>
          <w:sz w:val="18"/>
          <w:szCs w:val="18"/>
        </w:rPr>
        <w:t>07</w:t>
      </w:r>
      <w:r w:rsidRPr="00A01E92">
        <w:rPr>
          <w:rFonts w:ascii="Poppins" w:hAnsi="Poppins" w:cs="Poppins"/>
          <w:sz w:val="18"/>
          <w:szCs w:val="18"/>
        </w:rPr>
        <w:t>.</w:t>
      </w:r>
      <w:r w:rsidR="005151B0">
        <w:rPr>
          <w:rFonts w:ascii="Poppins" w:hAnsi="Poppins" w:cs="Poppins"/>
          <w:sz w:val="18"/>
          <w:szCs w:val="18"/>
        </w:rPr>
        <w:t>0</w:t>
      </w:r>
      <w:r w:rsidR="00AA7D7A">
        <w:rPr>
          <w:rFonts w:ascii="Poppins" w:hAnsi="Poppins" w:cs="Poppins"/>
          <w:sz w:val="18"/>
          <w:szCs w:val="18"/>
        </w:rPr>
        <w:t>4</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460518">
        <w:rPr>
          <w:rFonts w:ascii="Poppins" w:hAnsi="Poppins" w:cs="Poppins"/>
          <w:sz w:val="18"/>
          <w:szCs w:val="18"/>
        </w:rPr>
        <w:t>,</w:t>
      </w:r>
      <w:r w:rsidR="00AA7D7A">
        <w:rPr>
          <w:rFonts w:ascii="Poppins" w:hAnsi="Poppins" w:cs="Poppins"/>
          <w:sz w:val="18"/>
          <w:szCs w:val="18"/>
        </w:rPr>
        <w:t>28</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55A5E">
        <w:rPr>
          <w:rFonts w:ascii="Poppins" w:hAnsi="Poppins" w:cs="Poppins"/>
          <w:sz w:val="18"/>
          <w:szCs w:val="18"/>
        </w:rPr>
        <w:t>0</w:t>
      </w:r>
      <w:r w:rsidR="00465772" w:rsidRPr="00A01E92">
        <w:rPr>
          <w:rFonts w:ascii="Poppins" w:hAnsi="Poppins" w:cs="Poppins"/>
          <w:sz w:val="18"/>
          <w:szCs w:val="18"/>
        </w:rPr>
        <w:t>,</w:t>
      </w:r>
      <w:r w:rsidR="00AA7D7A">
        <w:rPr>
          <w:rFonts w:ascii="Poppins" w:hAnsi="Poppins" w:cs="Poppins"/>
          <w:sz w:val="18"/>
          <w:szCs w:val="18"/>
        </w:rPr>
        <w:t>32</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845353" w:rsidRPr="00A01E92">
        <w:rPr>
          <w:rFonts w:ascii="Poppins" w:hAnsi="Poppins" w:cs="Poppins"/>
          <w:sz w:val="18"/>
          <w:szCs w:val="18"/>
        </w:rPr>
        <w:t>,</w:t>
      </w:r>
      <w:r w:rsidR="00AA7D7A">
        <w:rPr>
          <w:rFonts w:ascii="Poppins" w:hAnsi="Poppins" w:cs="Poppins"/>
          <w:sz w:val="18"/>
          <w:szCs w:val="18"/>
        </w:rPr>
        <w:t>28</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w:t>
      </w:r>
      <w:r w:rsidR="00AA7D7A">
        <w:rPr>
          <w:rFonts w:ascii="Poppins" w:hAnsi="Poppins" w:cs="Poppins"/>
          <w:sz w:val="18"/>
          <w:szCs w:val="18"/>
        </w:rPr>
        <w:t>31</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S/Gln)</w:t>
      </w:r>
      <w:r w:rsidR="00655A5E">
        <w:rPr>
          <w:rFonts w:ascii="Poppins" w:hAnsi="Poppins" w:cs="Poppins"/>
          <w:sz w:val="18"/>
          <w:szCs w:val="18"/>
        </w:rPr>
        <w:t xml:space="preserve"> y</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S/Gln</w:t>
      </w:r>
      <w:r w:rsidR="00655A5E">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C2E547B"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F4B7A">
        <w:rPr>
          <w:rFonts w:ascii="Poppins" w:hAnsi="Poppins" w:cs="Poppins"/>
          <w:sz w:val="18"/>
          <w:szCs w:val="18"/>
        </w:rPr>
        <w:t>2</w:t>
      </w:r>
      <w:r w:rsidR="00D354A1">
        <w:rPr>
          <w:rFonts w:ascii="Poppins" w:hAnsi="Poppins" w:cs="Poppins"/>
          <w:sz w:val="18"/>
          <w:szCs w:val="18"/>
        </w:rPr>
        <w:t>7</w:t>
      </w:r>
      <w:r w:rsidR="00E7305B">
        <w:rPr>
          <w:rFonts w:ascii="Poppins" w:hAnsi="Poppins" w:cs="Poppins"/>
          <w:sz w:val="18"/>
          <w:szCs w:val="18"/>
        </w:rPr>
        <w:t>/</w:t>
      </w:r>
      <w:r w:rsidR="006B489A">
        <w:rPr>
          <w:rFonts w:ascii="Poppins" w:hAnsi="Poppins" w:cs="Poppins"/>
          <w:sz w:val="18"/>
          <w:szCs w:val="18"/>
        </w:rPr>
        <w:t>0</w:t>
      </w:r>
      <w:r w:rsidR="00640D73">
        <w:rPr>
          <w:rFonts w:ascii="Poppins" w:hAnsi="Poppins" w:cs="Poppins"/>
          <w:sz w:val="18"/>
          <w:szCs w:val="18"/>
        </w:rPr>
        <w:t>3</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3B2401">
        <w:rPr>
          <w:rFonts w:ascii="Poppins" w:hAnsi="Poppins" w:cs="Poppins"/>
          <w:sz w:val="18"/>
          <w:szCs w:val="18"/>
        </w:rPr>
        <w:t>1</w:t>
      </w:r>
      <w:r w:rsidR="008F4B7A">
        <w:rPr>
          <w:rFonts w:ascii="Poppins" w:hAnsi="Poppins" w:cs="Poppins"/>
          <w:sz w:val="18"/>
          <w:szCs w:val="18"/>
        </w:rPr>
        <w:t>0</w:t>
      </w:r>
      <w:r w:rsidR="00336251" w:rsidRPr="0096213B">
        <w:rPr>
          <w:rFonts w:ascii="Poppins" w:hAnsi="Poppins" w:cs="Poppins"/>
          <w:sz w:val="18"/>
          <w:szCs w:val="18"/>
        </w:rPr>
        <w:t>/</w:t>
      </w:r>
      <w:r w:rsidR="005151B0">
        <w:rPr>
          <w:rFonts w:ascii="Poppins" w:hAnsi="Poppins" w:cs="Poppins"/>
          <w:sz w:val="18"/>
          <w:szCs w:val="18"/>
        </w:rPr>
        <w:t>0</w:t>
      </w:r>
      <w:r w:rsidR="008F4B7A">
        <w:rPr>
          <w:rFonts w:ascii="Poppins" w:hAnsi="Poppins" w:cs="Poppins"/>
          <w:sz w:val="18"/>
          <w:szCs w:val="18"/>
        </w:rPr>
        <w:t>4</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9D9F0A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354A1">
        <w:rPr>
          <w:rFonts w:ascii="Poppins" w:hAnsi="Poppins" w:cs="Poppins"/>
          <w:b/>
          <w:bCs/>
          <w:i/>
          <w:sz w:val="18"/>
          <w:szCs w:val="18"/>
          <w:lang w:eastAsia="es-PE"/>
        </w:rPr>
        <w:t>13</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F4B7A">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22E69A49" w:rsidR="00A86191" w:rsidRPr="0096213B" w:rsidRDefault="00D354A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D844452" wp14:editId="467C40A8">
            <wp:extent cx="5427023" cy="3070535"/>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56848" cy="308741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20AD1A9"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354A1">
        <w:rPr>
          <w:rFonts w:ascii="Poppins" w:hAnsi="Poppins" w:cs="Poppins"/>
          <w:sz w:val="18"/>
          <w:szCs w:val="18"/>
        </w:rPr>
        <w:t>8</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D1505">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0222E7">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D354A1">
        <w:rPr>
          <w:rFonts w:ascii="Poppins" w:hAnsi="Poppins" w:cs="Poppins"/>
          <w:sz w:val="18"/>
          <w:szCs w:val="18"/>
        </w:rPr>
        <w:t>82</w:t>
      </w:r>
      <w:r w:rsidR="00282C40">
        <w:rPr>
          <w:rFonts w:ascii="Poppins" w:hAnsi="Poppins" w:cs="Poppins"/>
          <w:sz w:val="18"/>
          <w:szCs w:val="18"/>
        </w:rPr>
        <w:t xml:space="preserve">% </w:t>
      </w:r>
      <w:r w:rsidR="007D1505">
        <w:rPr>
          <w:rFonts w:ascii="Poppins" w:hAnsi="Poppins" w:cs="Poppins"/>
          <w:sz w:val="18"/>
          <w:szCs w:val="18"/>
        </w:rPr>
        <w:t xml:space="preserve">y </w:t>
      </w:r>
      <w:r w:rsidR="00D354A1">
        <w:rPr>
          <w:rFonts w:ascii="Poppins" w:hAnsi="Poppins" w:cs="Poppins"/>
          <w:sz w:val="18"/>
          <w:szCs w:val="18"/>
        </w:rPr>
        <w:t>92</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D1505">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E1854F1"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D354A1">
        <w:rPr>
          <w:rFonts w:ascii="Poppins" w:hAnsi="Poppins" w:cs="Poppins"/>
          <w:sz w:val="18"/>
          <w:szCs w:val="18"/>
        </w:rPr>
        <w:t>13</w:t>
      </w:r>
      <w:r w:rsidR="00F07057">
        <w:rPr>
          <w:rFonts w:ascii="Poppins" w:hAnsi="Poppins" w:cs="Poppins"/>
          <w:sz w:val="18"/>
          <w:szCs w:val="18"/>
        </w:rPr>
        <w:t xml:space="preserve"> </w:t>
      </w:r>
      <w:r w:rsidRPr="0096213B">
        <w:rPr>
          <w:rFonts w:ascii="Poppins" w:hAnsi="Poppins" w:cs="Poppins"/>
          <w:sz w:val="18"/>
          <w:szCs w:val="18"/>
        </w:rPr>
        <w:t xml:space="preserve">de </w:t>
      </w:r>
      <w:r w:rsidR="008F4B7A">
        <w:rPr>
          <w:rFonts w:ascii="Poppins" w:hAnsi="Poppins" w:cs="Poppins"/>
          <w:sz w:val="18"/>
          <w:szCs w:val="18"/>
        </w:rPr>
        <w:t>abril</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F997F3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4B0215">
        <w:rPr>
          <w:rFonts w:ascii="Poppins" w:hAnsi="Poppins" w:cs="Poppins"/>
          <w:sz w:val="18"/>
          <w:szCs w:val="18"/>
        </w:rPr>
        <w:t>31</w:t>
      </w:r>
      <w:r w:rsidR="00A33C99" w:rsidRPr="0096213B">
        <w:rPr>
          <w:rFonts w:ascii="Poppins" w:hAnsi="Poppins" w:cs="Poppins"/>
          <w:sz w:val="18"/>
          <w:szCs w:val="18"/>
        </w:rPr>
        <w:t>,</w:t>
      </w:r>
      <w:r w:rsidR="004B0215">
        <w:rPr>
          <w:rFonts w:ascii="Poppins" w:hAnsi="Poppins" w:cs="Poppins"/>
          <w:sz w:val="18"/>
          <w:szCs w:val="18"/>
        </w:rPr>
        <w:t>4</w:t>
      </w:r>
      <w:r w:rsidR="008F4B7A">
        <w:rPr>
          <w:rFonts w:ascii="Poppins" w:hAnsi="Poppins" w:cs="Poppins"/>
          <w:sz w:val="18"/>
          <w:szCs w:val="18"/>
        </w:rPr>
        <w:t>3</w:t>
      </w:r>
      <w:r w:rsidR="00A33C99" w:rsidRPr="0096213B">
        <w:rPr>
          <w:rFonts w:ascii="Poppins" w:hAnsi="Poppins" w:cs="Poppins"/>
          <w:sz w:val="18"/>
          <w:szCs w:val="18"/>
        </w:rPr>
        <w:t xml:space="preserve"> cent$/galón equivalente a </w:t>
      </w:r>
      <w:r w:rsidR="00937A88">
        <w:rPr>
          <w:rFonts w:ascii="Poppins" w:hAnsi="Poppins" w:cs="Poppins"/>
          <w:sz w:val="18"/>
          <w:szCs w:val="18"/>
        </w:rPr>
        <w:t>1</w:t>
      </w:r>
      <w:r w:rsidR="004B0215">
        <w:rPr>
          <w:rFonts w:ascii="Poppins" w:hAnsi="Poppins" w:cs="Poppins"/>
          <w:sz w:val="18"/>
          <w:szCs w:val="18"/>
        </w:rPr>
        <w:t>3</w:t>
      </w:r>
      <w:r w:rsidR="00A33C99" w:rsidRPr="0096213B">
        <w:rPr>
          <w:rFonts w:ascii="Poppins" w:hAnsi="Poppins" w:cs="Poppins"/>
          <w:sz w:val="18"/>
          <w:szCs w:val="18"/>
        </w:rPr>
        <w:t>,</w:t>
      </w:r>
      <w:r w:rsidR="004B0215">
        <w:rPr>
          <w:rFonts w:ascii="Poppins" w:hAnsi="Poppins" w:cs="Poppins"/>
          <w:sz w:val="18"/>
          <w:szCs w:val="18"/>
        </w:rPr>
        <w:t>20</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FB3F65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4B0215">
        <w:rPr>
          <w:rFonts w:ascii="Poppins" w:hAnsi="Poppins" w:cs="Poppins"/>
          <w:sz w:val="18"/>
          <w:szCs w:val="18"/>
        </w:rPr>
        <w:t>1</w:t>
      </w:r>
      <w:r w:rsidR="00E0028D">
        <w:rPr>
          <w:rFonts w:ascii="Poppins" w:hAnsi="Poppins" w:cs="Poppins"/>
          <w:sz w:val="18"/>
          <w:szCs w:val="18"/>
        </w:rPr>
        <w:t>,</w:t>
      </w:r>
      <w:r w:rsidR="007D1505">
        <w:rPr>
          <w:rFonts w:ascii="Poppins" w:hAnsi="Poppins" w:cs="Poppins"/>
          <w:sz w:val="18"/>
          <w:szCs w:val="18"/>
        </w:rPr>
        <w:t>5</w:t>
      </w:r>
      <w:r w:rsidR="004B0215">
        <w:rPr>
          <w:rFonts w:ascii="Poppins" w:hAnsi="Poppins" w:cs="Poppins"/>
          <w:sz w:val="18"/>
          <w:szCs w:val="18"/>
        </w:rPr>
        <w:t>7</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10AB031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D1505">
        <w:rPr>
          <w:rFonts w:ascii="Poppins" w:hAnsi="Poppins" w:cs="Poppins"/>
          <w:sz w:val="18"/>
          <w:szCs w:val="18"/>
        </w:rPr>
        <w:t>0</w:t>
      </w:r>
      <w:r w:rsidR="00CA2186">
        <w:rPr>
          <w:rFonts w:ascii="Poppins" w:hAnsi="Poppins" w:cs="Poppins"/>
          <w:sz w:val="18"/>
          <w:szCs w:val="18"/>
        </w:rPr>
        <w:t>7</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8F4B7A">
        <w:rPr>
          <w:rFonts w:ascii="Poppins" w:hAnsi="Poppins" w:cs="Poppins"/>
          <w:sz w:val="18"/>
          <w:szCs w:val="18"/>
        </w:rPr>
        <w:t>9</w:t>
      </w:r>
      <w:r w:rsidR="00CA2186">
        <w:rPr>
          <w:rFonts w:ascii="Poppins" w:hAnsi="Poppins" w:cs="Poppins"/>
          <w:sz w:val="18"/>
          <w:szCs w:val="18"/>
        </w:rPr>
        <w:t>8</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AFE8E7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CA2186">
        <w:rPr>
          <w:rFonts w:ascii="Poppins" w:hAnsi="Poppins" w:cs="Poppins"/>
          <w:sz w:val="18"/>
          <w:szCs w:val="18"/>
        </w:rPr>
        <w:t>1</w:t>
      </w:r>
      <w:r w:rsidR="008106C7">
        <w:rPr>
          <w:rFonts w:ascii="Poppins" w:hAnsi="Poppins" w:cs="Poppins"/>
          <w:sz w:val="18"/>
          <w:szCs w:val="18"/>
        </w:rPr>
        <w:t>5</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CA2186">
        <w:rPr>
          <w:rFonts w:ascii="Poppins" w:hAnsi="Poppins" w:cs="Poppins"/>
          <w:sz w:val="18"/>
          <w:szCs w:val="18"/>
        </w:rPr>
        <w:t>6</w:t>
      </w:r>
      <w:r w:rsidR="008508AE">
        <w:rPr>
          <w:rFonts w:ascii="Poppins" w:hAnsi="Poppins" w:cs="Poppins"/>
          <w:sz w:val="18"/>
          <w:szCs w:val="18"/>
        </w:rPr>
        <w:t>,</w:t>
      </w:r>
      <w:r w:rsidR="00CA2186">
        <w:rPr>
          <w:rFonts w:ascii="Poppins" w:hAnsi="Poppins" w:cs="Poppins"/>
          <w:sz w:val="18"/>
          <w:szCs w:val="18"/>
        </w:rPr>
        <w:t>16</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21BB2EC"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CA2186">
        <w:rPr>
          <w:rFonts w:ascii="Poppins" w:hAnsi="Poppins" w:cs="Poppins"/>
          <w:sz w:val="18"/>
          <w:szCs w:val="18"/>
        </w:rPr>
        <w:t>1</w:t>
      </w:r>
      <w:r w:rsidR="00110925">
        <w:rPr>
          <w:rFonts w:ascii="Poppins" w:hAnsi="Poppins" w:cs="Poppins"/>
          <w:sz w:val="18"/>
          <w:szCs w:val="18"/>
        </w:rPr>
        <w:t>,</w:t>
      </w:r>
      <w:r w:rsidR="007D1505">
        <w:rPr>
          <w:rFonts w:ascii="Poppins" w:hAnsi="Poppins" w:cs="Poppins"/>
          <w:sz w:val="18"/>
          <w:szCs w:val="18"/>
        </w:rPr>
        <w:t>5</w:t>
      </w:r>
      <w:r w:rsidR="00CA2186">
        <w:rPr>
          <w:rFonts w:ascii="Poppins" w:hAnsi="Poppins" w:cs="Poppins"/>
          <w:sz w:val="18"/>
          <w:szCs w:val="18"/>
        </w:rPr>
        <w:t>7</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6309B7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CA2186">
        <w:rPr>
          <w:rFonts w:ascii="Poppins" w:hAnsi="Poppins" w:cs="Poppins"/>
          <w:bCs/>
          <w:sz w:val="18"/>
          <w:szCs w:val="18"/>
        </w:rPr>
        <w:t>6</w:t>
      </w:r>
      <w:r w:rsidRPr="004C5B09">
        <w:rPr>
          <w:rFonts w:ascii="Poppins" w:hAnsi="Poppins" w:cs="Poppins"/>
          <w:bCs/>
          <w:sz w:val="18"/>
          <w:szCs w:val="18"/>
        </w:rPr>
        <w:t>,</w:t>
      </w:r>
      <w:r w:rsidR="00CA2186">
        <w:rPr>
          <w:rFonts w:ascii="Poppins" w:hAnsi="Poppins" w:cs="Poppins"/>
          <w:bCs/>
          <w:sz w:val="18"/>
          <w:szCs w:val="18"/>
        </w:rPr>
        <w:t>22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1E2D20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CA2186">
        <w:rPr>
          <w:rFonts w:ascii="Poppins" w:hAnsi="Poppins" w:cs="Poppins"/>
          <w:sz w:val="18"/>
          <w:szCs w:val="18"/>
        </w:rPr>
        <w:t>6</w:t>
      </w:r>
      <w:r w:rsidR="007D1505">
        <w:rPr>
          <w:rFonts w:ascii="Poppins" w:hAnsi="Poppins" w:cs="Poppins"/>
          <w:sz w:val="18"/>
          <w:szCs w:val="18"/>
        </w:rPr>
        <w:t>8</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A2359B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A2186">
        <w:rPr>
          <w:rFonts w:ascii="Poppins" w:hAnsi="Poppins" w:cs="Poppins"/>
          <w:sz w:val="18"/>
          <w:szCs w:val="18"/>
          <w:lang w:eastAsia="en-US"/>
        </w:rPr>
        <w:t>37</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CA2186">
        <w:rPr>
          <w:rFonts w:ascii="Poppins" w:hAnsi="Poppins" w:cs="Poppins"/>
          <w:sz w:val="18"/>
          <w:szCs w:val="18"/>
          <w:lang w:eastAsia="en-US"/>
        </w:rPr>
        <w:t>1</w:t>
      </w:r>
      <w:r w:rsidR="007D44FD" w:rsidRPr="00881E39">
        <w:rPr>
          <w:rFonts w:ascii="Poppins" w:hAnsi="Poppins" w:cs="Poppins"/>
          <w:sz w:val="18"/>
          <w:szCs w:val="18"/>
          <w:lang w:eastAsia="en-US"/>
        </w:rPr>
        <w:t>,</w:t>
      </w:r>
      <w:r w:rsidR="00CA2186">
        <w:rPr>
          <w:rFonts w:ascii="Poppins" w:hAnsi="Poppins" w:cs="Poppins"/>
          <w:sz w:val="18"/>
          <w:szCs w:val="18"/>
          <w:lang w:eastAsia="en-US"/>
        </w:rPr>
        <w:t>39</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CA2186">
        <w:rPr>
          <w:rFonts w:ascii="Poppins" w:hAnsi="Poppins" w:cs="Poppins"/>
          <w:sz w:val="18"/>
          <w:szCs w:val="18"/>
          <w:lang w:eastAsia="en-US"/>
        </w:rPr>
        <w:t>1</w:t>
      </w:r>
      <w:r w:rsidR="007D44FD" w:rsidRPr="00881E39">
        <w:rPr>
          <w:rFonts w:ascii="Poppins" w:hAnsi="Poppins" w:cs="Poppins"/>
          <w:sz w:val="18"/>
          <w:szCs w:val="18"/>
          <w:lang w:eastAsia="en-US"/>
        </w:rPr>
        <w:t>,</w:t>
      </w:r>
      <w:r w:rsidR="00CA2186">
        <w:rPr>
          <w:rFonts w:ascii="Poppins" w:hAnsi="Poppins" w:cs="Poppins"/>
          <w:sz w:val="18"/>
          <w:szCs w:val="18"/>
          <w:lang w:eastAsia="en-US"/>
        </w:rPr>
        <w:t>39</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770A527"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CA2186" w:rsidRPr="00CA2186">
              <w:rPr>
                <w:rFonts w:ascii="Poppins" w:hAnsi="Poppins" w:cs="Poppins"/>
                <w:i/>
                <w:iCs/>
                <w:noProof/>
                <w:sz w:val="14"/>
                <w:szCs w:val="14"/>
                <w:lang w:val="es-MX" w:eastAsia="en-US"/>
              </w:rPr>
              <w:drawing>
                <wp:inline distT="0" distB="0" distL="0" distR="0" wp14:anchorId="14FE4796" wp14:editId="15519FEB">
                  <wp:extent cx="8169910" cy="2998470"/>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9910" cy="299847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A69555A" w:rsidR="000F7442" w:rsidRPr="0096213B" w:rsidRDefault="00110648" w:rsidP="000F7442">
            <w:pPr>
              <w:jc w:val="center"/>
              <w:rPr>
                <w:rFonts w:ascii="Poppins" w:hAnsi="Poppins" w:cs="Poppins"/>
                <w:sz w:val="8"/>
                <w:szCs w:val="20"/>
              </w:rPr>
            </w:pPr>
            <w:r w:rsidRPr="00110648">
              <w:rPr>
                <w:rFonts w:ascii="Poppins" w:hAnsi="Poppins" w:cs="Poppins"/>
                <w:noProof/>
                <w:sz w:val="8"/>
                <w:szCs w:val="20"/>
              </w:rPr>
              <w:drawing>
                <wp:inline distT="0" distB="0" distL="0" distR="0" wp14:anchorId="2BEB9706" wp14:editId="2A7DE28F">
                  <wp:extent cx="3562350" cy="28384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4730514" w:rsidR="00EF3BE9" w:rsidRPr="0096213B" w:rsidRDefault="00110648"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506C0153" wp14:editId="1772CE09">
                  <wp:extent cx="5312824" cy="2709091"/>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6741" cy="271618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3A07B3AE" w:rsidR="00551F16" w:rsidRPr="0096213B" w:rsidRDefault="00CA218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A2186">
        <w:drawing>
          <wp:inline distT="0" distB="0" distL="0" distR="0" wp14:anchorId="1F31FDD1" wp14:editId="309722E6">
            <wp:extent cx="5652655" cy="2350135"/>
            <wp:effectExtent l="0" t="0" r="571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4233" cy="235079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C836791" w:rsidR="00F70B88" w:rsidRDefault="00CA2186" w:rsidP="00604758">
      <w:pPr>
        <w:spacing w:line="0" w:lineRule="atLeast"/>
        <w:ind w:right="-567"/>
        <w:jc w:val="both"/>
        <w:rPr>
          <w:rFonts w:ascii="Poppins" w:hAnsi="Poppins" w:cs="Poppins"/>
          <w:noProof/>
          <w:sz w:val="20"/>
          <w:szCs w:val="20"/>
        </w:rPr>
      </w:pPr>
      <w:r w:rsidRPr="00CA2186">
        <w:drawing>
          <wp:inline distT="0" distB="0" distL="0" distR="0" wp14:anchorId="1B3799E8" wp14:editId="7A69C534">
            <wp:extent cx="5850255" cy="2161309"/>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6988" cy="2163796"/>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C794F94" w:rsidR="00127A54" w:rsidRPr="0096213B" w:rsidRDefault="00CA2186" w:rsidP="006220EA">
      <w:pPr>
        <w:rPr>
          <w:rFonts w:ascii="Poppins" w:hAnsi="Poppins" w:cs="Poppins"/>
          <w:i/>
          <w:sz w:val="14"/>
          <w:szCs w:val="14"/>
        </w:rPr>
      </w:pPr>
      <w:r w:rsidRPr="00CA2186">
        <w:drawing>
          <wp:inline distT="0" distB="0" distL="0" distR="0" wp14:anchorId="6E6097ED" wp14:editId="62BE4239">
            <wp:extent cx="5850255" cy="7618020"/>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325" cy="7619413"/>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236CD75" w:rsidR="005048C1" w:rsidRPr="0096213B" w:rsidRDefault="00F91202" w:rsidP="005048C1">
      <w:pPr>
        <w:jc w:val="both"/>
        <w:rPr>
          <w:rFonts w:ascii="Poppins" w:hAnsi="Poppins" w:cs="Poppins"/>
          <w:i/>
          <w:iCs/>
          <w:sz w:val="12"/>
          <w:szCs w:val="12"/>
        </w:rPr>
      </w:pPr>
      <w:r>
        <w:t xml:space="preserve">                       </w:t>
      </w:r>
      <w:r w:rsidR="001D64AD" w:rsidRPr="001D64AD">
        <w:rPr>
          <w:noProof/>
        </w:rPr>
        <w:drawing>
          <wp:inline distT="0" distB="0" distL="0" distR="0" wp14:anchorId="4A240443" wp14:editId="254AD6A8">
            <wp:extent cx="5850255" cy="669607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6960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3D4B47BF" w:rsidR="00812956" w:rsidRDefault="003E4077" w:rsidP="00842A58">
      <w:pPr>
        <w:pStyle w:val="xl37"/>
        <w:tabs>
          <w:tab w:val="left" w:pos="180"/>
        </w:tabs>
        <w:spacing w:before="0" w:beforeAutospacing="0" w:after="0" w:afterAutospacing="0"/>
        <w:jc w:val="center"/>
        <w:rPr>
          <w:noProof/>
        </w:rPr>
      </w:pPr>
      <w:r>
        <w:rPr>
          <w:noProof/>
        </w:rPr>
        <w:drawing>
          <wp:inline distT="0" distB="0" distL="0" distR="0" wp14:anchorId="7AA866F4" wp14:editId="6C50E59E">
            <wp:extent cx="4482670" cy="3182233"/>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3851" cy="3190171"/>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07C3A66D" w:rsidR="001307B8" w:rsidRPr="00A149FB" w:rsidRDefault="003E4077"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19F4DC6" wp14:editId="150D2143">
            <wp:extent cx="4404721" cy="3099460"/>
            <wp:effectExtent l="0" t="0" r="0" b="571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20832" cy="3110797"/>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5D82A3EB" w:rsidR="006C0944" w:rsidRDefault="003E4077" w:rsidP="00373E46">
      <w:pPr>
        <w:pStyle w:val="xl37"/>
        <w:tabs>
          <w:tab w:val="left" w:pos="180"/>
        </w:tabs>
        <w:spacing w:before="0" w:beforeAutospacing="0" w:after="0" w:afterAutospacing="0"/>
        <w:jc w:val="center"/>
        <w:rPr>
          <w:noProof/>
        </w:rPr>
      </w:pPr>
      <w:r>
        <w:rPr>
          <w:noProof/>
        </w:rPr>
        <w:drawing>
          <wp:inline distT="0" distB="0" distL="0" distR="0" wp14:anchorId="314F9F2C" wp14:editId="4887C218">
            <wp:extent cx="4680489" cy="3343910"/>
            <wp:effectExtent l="0" t="0" r="635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2125" cy="3352223"/>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340FACE7" w:rsidR="00356BB0" w:rsidRDefault="003E4077" w:rsidP="00BF0E9E">
      <w:pPr>
        <w:pStyle w:val="xl37"/>
        <w:tabs>
          <w:tab w:val="left" w:pos="180"/>
          <w:tab w:val="left" w:pos="1560"/>
          <w:tab w:val="left" w:pos="8222"/>
        </w:tabs>
        <w:spacing w:before="0" w:beforeAutospacing="0" w:after="0" w:afterAutospacing="0"/>
        <w:jc w:val="center"/>
        <w:rPr>
          <w:noProof/>
        </w:rPr>
      </w:pPr>
      <w:r w:rsidRPr="003E4077">
        <w:rPr>
          <w:noProof/>
        </w:rPr>
        <w:drawing>
          <wp:inline distT="0" distB="0" distL="0" distR="0" wp14:anchorId="5868D722" wp14:editId="171FE0E3">
            <wp:extent cx="4537629" cy="328415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48990" cy="3292376"/>
                    </a:xfrm>
                    <a:prstGeom prst="rect">
                      <a:avLst/>
                    </a:prstGeom>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3E4077"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6ECF1F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A84439">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2D6D34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A84439">
            <w:rPr>
              <w:rFonts w:ascii="Poppins" w:hAnsi="Poppins" w:cs="Poppins"/>
              <w:b/>
              <w:sz w:val="22"/>
              <w:szCs w:val="22"/>
              <w:lang w:val="it-IT"/>
            </w:rPr>
            <w:t>5</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72930E3"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56639D">
            <w:rPr>
              <w:rFonts w:ascii="Poppins" w:hAnsi="Poppins" w:cs="Poppins"/>
              <w:b/>
              <w:sz w:val="22"/>
              <w:szCs w:val="22"/>
              <w:lang w:val="it-IT"/>
            </w:rPr>
            <w:t>5</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BA47875"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56639D">
            <w:rPr>
              <w:rFonts w:ascii="Poppins" w:hAnsi="Poppins" w:cs="Poppins"/>
              <w:b/>
              <w:sz w:val="22"/>
              <w:szCs w:val="22"/>
              <w:lang w:val="it-IT"/>
            </w:rPr>
            <w:t>5</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82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679</TotalTime>
  <Pages>21</Pages>
  <Words>5601</Words>
  <Characters>30811</Characters>
  <Application>Microsoft Office Word</Application>
  <DocSecurity>0</DocSecurity>
  <Lines>256</Lines>
  <Paragraphs>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2026-02-16T14:35:00Z</cp:lastPrinted>
  <dcterms:created xsi:type="dcterms:W3CDTF">2026-04-14T16:23:00Z</dcterms:created>
  <dcterms:modified xsi:type="dcterms:W3CDTF">2026-04-16T21:03:00Z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